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 xml:space="preserve"> – Bowerham Primary and Nursery School and Baby Unit</w:t>
      </w:r>
    </w:p>
    <w:p>
      <w:pPr>
        <w:spacing w:after="0"/>
      </w:pPr>
    </w:p>
    <w:p>
      <w:pPr>
        <w:rPr>
          <w:b/>
        </w:rPr>
      </w:pPr>
      <w:r>
        <w:t xml:space="preserve">This statement details our school’s use of pupil premium funding to help improve the attainment of our disadvantaged pupils. </w:t>
      </w:r>
    </w:p>
    <w:p>
      <w:pPr>
        <w:rPr>
          <w:b/>
        </w:rPr>
      </w:pPr>
      <w:r>
        <w:t>It outlines our pupil premium strategy, how we intend to spend the funding in this academic year and the outcomes for disadvantaged pupils last academic year.</w:t>
      </w:r>
    </w:p>
    <w:p>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pPr>
              <w:pStyle w:val="TableHeader"/>
              <w:ind w:left="0" w:right="0"/>
              <w:jc w:val="left"/>
            </w:pPr>
            <w:r>
              <w:t>Data</w:t>
            </w:r>
          </w:p>
        </w:tc>
      </w:tr>
      <w:tr>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503 (87 in Nursery)</w:t>
            </w:r>
            <w:r>
              <w:br/>
            </w:r>
          </w:p>
        </w:tc>
      </w:tr>
      <w:tr>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 PP – 102 pupils (20%)</w:t>
            </w:r>
            <w:r>
              <w:br/>
            </w:r>
            <w:r>
              <w:rPr>
                <w:rFonts w:eastAsia="Arial" w:cs="Arial"/>
              </w:rPr>
              <w:t>• FSM – 85 pupils (17%)</w:t>
            </w:r>
            <w:r>
              <w:br/>
            </w:r>
            <w:r>
              <w:rPr>
                <w:rFonts w:eastAsia="Arial" w:cs="Arial"/>
              </w:rPr>
              <w:t>• LAC – 16 pupils (3%)</w:t>
            </w:r>
            <w:r>
              <w:br/>
            </w:r>
            <w:r>
              <w:rPr>
                <w:rFonts w:eastAsia="Arial" w:cs="Arial"/>
              </w:rPr>
              <w:t>• Service – 6 pupils (1%)</w:t>
            </w:r>
          </w:p>
        </w:tc>
      </w:tr>
      <w:tr>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b/>
                <w:bCs/>
              </w:rPr>
            </w:pPr>
            <w:r>
              <w:rPr>
                <w:rFonts w:eastAsia="Arial" w:cs="Arial"/>
              </w:rPr>
              <w:t xml:space="preserve">Academic year/years that our current pupil premium strategy plan covers </w:t>
            </w:r>
            <w:r>
              <w:rPr>
                <w:rFonts w:eastAsia="Arial" w:cs="Arial"/>
                <w:b/>
                <w:bCs/>
              </w:rPr>
              <w:t>(3-year plans are recommended – you must still publish an updated statement each academic year)</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2025-2026</w:t>
            </w:r>
          </w:p>
        </w:tc>
      </w:tr>
      <w:tr>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December 2025</w:t>
            </w:r>
          </w:p>
        </w:tc>
      </w:tr>
      <w:tr>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October 2025, February 2026, June 2026</w:t>
            </w:r>
            <w:r>
              <w:br/>
            </w:r>
          </w:p>
        </w:tc>
      </w:tr>
      <w:tr>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 xml:space="preserve">Jo Banks </w:t>
            </w:r>
          </w:p>
        </w:tc>
      </w:tr>
      <w:tr>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Laura Hemingway</w:t>
            </w:r>
          </w:p>
        </w:tc>
      </w:tr>
      <w:tr>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Governor / Trustee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Misbah Ashraf</w:t>
            </w:r>
          </w:p>
        </w:tc>
      </w:tr>
    </w:tbl>
    <w:bookmarkEnd w:id="2"/>
    <w:bookmarkEnd w:id="3"/>
    <w:bookmarkEnd w:id="4"/>
    <w:p>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pPr>
              <w:pStyle w:val="TableRow"/>
              <w:ind w:left="0" w:right="0"/>
            </w:pPr>
            <w:r>
              <w:rPr>
                <w:b/>
              </w:rPr>
              <w:t>Amount</w:t>
            </w:r>
          </w:p>
        </w:tc>
      </w:tr>
      <w:tr>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£121,070 (Decrease of £28,450 from previous year)</w:t>
            </w:r>
            <w:r>
              <w:br/>
            </w:r>
          </w:p>
        </w:tc>
      </w:tr>
      <w:tr>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pPr>
              <w:pStyle w:val="TableRow"/>
              <w:spacing w:after="120"/>
              <w:ind w:left="0" w:right="0"/>
            </w:pPr>
            <w:r>
              <w:t xml:space="preserve">Pupil premium funding carried forward from previous years </w:t>
            </w:r>
            <w:r>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£0</w:t>
            </w:r>
          </w:p>
        </w:tc>
      </w:tr>
      <w:t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spacing w:after="120"/>
              <w:ind w:left="0" w:right="0"/>
              <w:rPr>
                <w:b/>
              </w:rPr>
            </w:pPr>
            <w:r>
              <w:rPr>
                <w:b/>
              </w:rPr>
              <w:t>Total budget for this academic year</w:t>
            </w:r>
          </w:p>
          <w:p>
            <w:pPr>
              <w:pStyle w:val="TableRow"/>
              <w:ind w:left="0" w:right="0"/>
              <w:rPr>
                <w:i/>
                <w:iCs/>
              </w:rPr>
            </w:pPr>
            <w:r>
              <w:rPr>
                <w:i/>
                <w:iCs/>
              </w:rPr>
              <w:lastRenderedPageBreak/>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lastRenderedPageBreak/>
              <w:t>£121,070</w:t>
            </w:r>
          </w:p>
        </w:tc>
      </w:tr>
    </w:tbl>
    <w:p>
      <w:pPr>
        <w:pStyle w:val="Heading1"/>
      </w:pPr>
      <w:r>
        <w:lastRenderedPageBreak/>
        <w:t>Part A: Pupil premium strategy plan</w:t>
      </w:r>
    </w:p>
    <w:p>
      <w:pPr>
        <w:pStyle w:val="Heading2"/>
      </w:pPr>
      <w:bookmarkStart w:id="14" w:name="_Toc357771640"/>
      <w:bookmarkStart w:id="15" w:name="_Toc346793418"/>
      <w:r>
        <w:t>Statement of intent</w:t>
      </w:r>
    </w:p>
    <w:p>
      <w:pPr>
        <w:spacing w:before="100" w:beforeAutospacing="1" w:after="100" w:afterAutospacing="1" w:line="240" w:lineRule="auto"/>
        <w:rPr>
          <w:rFonts w:cs="Arial"/>
          <w:color w:val="auto"/>
        </w:rPr>
      </w:pPr>
      <w:r>
        <w:rPr>
          <w:rFonts w:cs="Arial"/>
        </w:rPr>
        <w:t>To effectively narrow the attainment gap for children in receipt of Pupil Premium funding, here are key strategies aligned with your school’s priorities and practices:</w:t>
      </w:r>
    </w:p>
    <w:p>
      <w:pPr>
        <w:pStyle w:val="NormalWeb"/>
        <w:rPr>
          <w:rFonts w:ascii="Arial" w:hAnsi="Arial" w:cs="Arial"/>
        </w:rPr>
      </w:pPr>
      <w:r>
        <w:rPr>
          <w:noProof/>
          <w:sz w:val="22"/>
          <w:szCs w:val="22"/>
        </w:rPr>
        <w:drawing>
          <wp:anchor distT="0" distB="0" distL="114300" distR="114300" simplePos="0" relativeHeight="251659264" behindDoc="1" locked="0" layoutInCell="1" allowOverlap="1">
            <wp:simplePos x="0" y="0"/>
            <wp:positionH relativeFrom="margin">
              <wp:posOffset>2678430</wp:posOffset>
            </wp:positionH>
            <wp:positionV relativeFrom="paragraph">
              <wp:posOffset>584200</wp:posOffset>
            </wp:positionV>
            <wp:extent cx="3575050" cy="2389505"/>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75050" cy="2389505"/>
                    </a:xfrm>
                    <a:prstGeom prst="rect">
                      <a:avLst/>
                    </a:prstGeom>
                    <a:noFill/>
                  </pic:spPr>
                </pic:pic>
              </a:graphicData>
            </a:graphic>
            <wp14:sizeRelH relativeFrom="page">
              <wp14:pctWidth>0</wp14:pctWidth>
            </wp14:sizeRelH>
            <wp14:sizeRelV relativeFrom="page">
              <wp14:pctHeight>0</wp14:pctHeight>
            </wp14:sizeRelV>
          </wp:anchor>
        </w:drawing>
      </w:r>
      <w:r>
        <w:rPr>
          <w:rStyle w:val="Strong"/>
          <w:rFonts w:ascii="Arial" w:hAnsi="Arial" w:cs="Arial"/>
        </w:rPr>
        <w:t>Our Vision:</w:t>
      </w:r>
      <w:r>
        <w:rPr>
          <w:rFonts w:ascii="Arial" w:hAnsi="Arial" w:cs="Arial"/>
        </w:rPr>
        <w:t xml:space="preserve"> To effectively narrow the gap in attainment for children in receipt of Pupil Premium funding, ensuring their progress and achievement are in line with their non-Pupil Premium peers.</w:t>
      </w:r>
    </w:p>
    <w:p>
      <w:pPr>
        <w:pStyle w:val="NormalWeb"/>
        <w:rPr>
          <w:rFonts w:ascii="Arial" w:hAnsi="Arial" w:cs="Arial"/>
        </w:rPr>
      </w:pPr>
      <w:r>
        <w:rPr>
          <w:rStyle w:val="Strong"/>
          <w:rFonts w:ascii="Arial" w:hAnsi="Arial" w:cs="Arial"/>
        </w:rPr>
        <w:t>Our Aims:</w:t>
      </w:r>
      <w:r>
        <w:rPr>
          <w:rFonts w:ascii="Arial" w:hAnsi="Arial" w:cs="Arial"/>
        </w:rPr>
        <w:t xml:space="preserve"> We aim to support all eligible pupils by:</w:t>
      </w:r>
    </w:p>
    <w:p>
      <w:pPr>
        <w:pStyle w:val="NormalWeb"/>
        <w:numPr>
          <w:ilvl w:val="0"/>
          <w:numId w:val="29"/>
        </w:numPr>
        <w:rPr>
          <w:rFonts w:ascii="Arial" w:hAnsi="Arial" w:cs="Arial"/>
        </w:rPr>
      </w:pPr>
      <w:r>
        <w:rPr>
          <w:rFonts w:ascii="Arial" w:hAnsi="Arial" w:cs="Arial"/>
        </w:rPr>
        <w:t>Ensuring high-quality teaching across the school that meets the needs of disadvantaged pupils.</w:t>
      </w:r>
    </w:p>
    <w:p>
      <w:pPr>
        <w:pStyle w:val="NormalWeb"/>
        <w:numPr>
          <w:ilvl w:val="0"/>
          <w:numId w:val="29"/>
        </w:numPr>
        <w:rPr>
          <w:rFonts w:ascii="Arial" w:hAnsi="Arial" w:cs="Arial"/>
        </w:rPr>
      </w:pPr>
      <w:r>
        <w:rPr>
          <w:rFonts w:ascii="Arial" w:hAnsi="Arial" w:cs="Arial"/>
        </w:rPr>
        <w:t>Implementing targeted interventions designed to accelerate progress and address gaps in learning.</w:t>
      </w:r>
    </w:p>
    <w:p>
      <w:pPr>
        <w:pStyle w:val="NormalWeb"/>
        <w:numPr>
          <w:ilvl w:val="0"/>
          <w:numId w:val="29"/>
        </w:numPr>
        <w:rPr>
          <w:rFonts w:ascii="Arial" w:hAnsi="Arial" w:cs="Arial"/>
        </w:rPr>
      </w:pPr>
      <w:r>
        <w:rPr>
          <w:rFonts w:ascii="Arial" w:hAnsi="Arial" w:cs="Arial"/>
        </w:rPr>
        <w:t>Providing enrichment opportunities that broaden pupils' experiences and support their social, emotional, and academic development.</w:t>
      </w:r>
    </w:p>
    <w:p>
      <w:pPr>
        <w:pStyle w:val="NormalWeb"/>
        <w:numPr>
          <w:ilvl w:val="0"/>
          <w:numId w:val="29"/>
        </w:numPr>
        <w:rPr>
          <w:rFonts w:ascii="Arial" w:hAnsi="Arial" w:cs="Arial"/>
        </w:rPr>
      </w:pPr>
      <w:r>
        <w:rPr>
          <w:rFonts w:ascii="Arial" w:hAnsi="Arial" w:cs="Arial"/>
        </w:rPr>
        <w:t>Delivering comprehensive pastoral care to ensure pupils feel safe, supported, and ready to learn.</w:t>
      </w:r>
    </w:p>
    <w:p>
      <w:pPr>
        <w:pStyle w:val="NormalWeb"/>
        <w:rPr>
          <w:rFonts w:ascii="Arial" w:hAnsi="Arial" w:cs="Arial"/>
        </w:rPr>
      </w:pPr>
    </w:p>
    <w:p>
      <w:pPr>
        <w:pStyle w:val="NormalWeb"/>
        <w:rPr>
          <w:rFonts w:ascii="Arial" w:hAnsi="Arial" w:cs="Arial"/>
        </w:rPr>
      </w:pPr>
      <w:r>
        <w:rPr>
          <w:rStyle w:val="Strong"/>
          <w:rFonts w:ascii="Arial" w:hAnsi="Arial" w:cs="Arial"/>
        </w:rPr>
        <w:t>Key Strategies for Improvement:</w:t>
      </w:r>
    </w:p>
    <w:p>
      <w:pPr>
        <w:pStyle w:val="NormalWeb"/>
        <w:rPr>
          <w:rFonts w:ascii="Arial" w:hAnsi="Arial" w:cs="Arial"/>
        </w:rPr>
      </w:pPr>
      <w:r>
        <w:rPr>
          <w:rStyle w:val="Strong"/>
          <w:rFonts w:ascii="Arial" w:hAnsi="Arial" w:cs="Arial"/>
        </w:rPr>
        <w:t>High-Quality Teaching:</w:t>
      </w:r>
    </w:p>
    <w:p>
      <w:pPr>
        <w:pStyle w:val="NormalWeb"/>
        <w:numPr>
          <w:ilvl w:val="1"/>
          <w:numId w:val="30"/>
        </w:numPr>
        <w:rPr>
          <w:rFonts w:ascii="Arial" w:hAnsi="Arial" w:cs="Arial"/>
        </w:rPr>
      </w:pPr>
      <w:r>
        <w:rPr>
          <w:rFonts w:ascii="Arial" w:hAnsi="Arial" w:cs="Arial"/>
        </w:rPr>
        <w:t>Prioritise professional development for staff to enhance teaching strategies that support disadvantaged pupils.</w:t>
      </w:r>
    </w:p>
    <w:p>
      <w:pPr>
        <w:pStyle w:val="NormalWeb"/>
        <w:numPr>
          <w:ilvl w:val="1"/>
          <w:numId w:val="30"/>
        </w:numPr>
        <w:rPr>
          <w:rFonts w:ascii="Arial" w:hAnsi="Arial" w:cs="Arial"/>
        </w:rPr>
      </w:pPr>
      <w:r>
        <w:rPr>
          <w:rFonts w:ascii="Arial" w:hAnsi="Arial" w:cs="Arial"/>
        </w:rPr>
        <w:t>Embed metacognitive approaches to develop pupils' thinking and reasoning skills.</w:t>
      </w:r>
    </w:p>
    <w:p>
      <w:pPr>
        <w:pStyle w:val="NormalWeb"/>
        <w:numPr>
          <w:ilvl w:val="1"/>
          <w:numId w:val="30"/>
        </w:numPr>
        <w:rPr>
          <w:rFonts w:ascii="Arial" w:hAnsi="Arial" w:cs="Arial"/>
        </w:rPr>
      </w:pPr>
      <w:r>
        <w:rPr>
          <w:rFonts w:ascii="Arial" w:hAnsi="Arial" w:cs="Arial"/>
        </w:rPr>
        <w:t>Ensure clear curriculum planning identifies essential knowledge and builds on prior learning to secure progress.</w:t>
      </w:r>
    </w:p>
    <w:p>
      <w:pPr>
        <w:pStyle w:val="NormalWeb"/>
        <w:rPr>
          <w:rFonts w:ascii="Arial" w:hAnsi="Arial" w:cs="Arial"/>
        </w:rPr>
      </w:pPr>
      <w:r>
        <w:rPr>
          <w:rStyle w:val="Strong"/>
          <w:rFonts w:ascii="Arial" w:hAnsi="Arial" w:cs="Arial"/>
        </w:rPr>
        <w:t>Targeted Academic Support:</w:t>
      </w:r>
    </w:p>
    <w:p>
      <w:pPr>
        <w:pStyle w:val="NormalWeb"/>
        <w:numPr>
          <w:ilvl w:val="1"/>
          <w:numId w:val="30"/>
        </w:numPr>
        <w:rPr>
          <w:rFonts w:ascii="Arial" w:hAnsi="Arial" w:cs="Arial"/>
        </w:rPr>
      </w:pPr>
      <w:r>
        <w:rPr>
          <w:rFonts w:ascii="Arial" w:hAnsi="Arial" w:cs="Arial"/>
        </w:rPr>
        <w:t>Implement evidence-based interventions tailored to individual pupil needs.</w:t>
      </w:r>
    </w:p>
    <w:p>
      <w:pPr>
        <w:pStyle w:val="NormalWeb"/>
        <w:numPr>
          <w:ilvl w:val="1"/>
          <w:numId w:val="30"/>
        </w:numPr>
        <w:rPr>
          <w:rFonts w:ascii="Arial" w:hAnsi="Arial" w:cs="Arial"/>
        </w:rPr>
      </w:pPr>
      <w:r>
        <w:rPr>
          <w:rFonts w:ascii="Arial" w:hAnsi="Arial" w:cs="Arial"/>
        </w:rPr>
        <w:t>Use assessment data rigorously to identify gaps and track progress.</w:t>
      </w:r>
    </w:p>
    <w:p>
      <w:pPr>
        <w:pStyle w:val="NormalWeb"/>
        <w:numPr>
          <w:ilvl w:val="1"/>
          <w:numId w:val="30"/>
        </w:numPr>
        <w:rPr>
          <w:rFonts w:ascii="Arial" w:hAnsi="Arial" w:cs="Arial"/>
        </w:rPr>
      </w:pPr>
      <w:r>
        <w:rPr>
          <w:rFonts w:ascii="Arial" w:hAnsi="Arial" w:cs="Arial"/>
        </w:rPr>
        <w:t>Provide additional tutoring and small-group interventions for pupils who require further support.</w:t>
      </w:r>
    </w:p>
    <w:p>
      <w:pPr>
        <w:pStyle w:val="NormalWeb"/>
        <w:rPr>
          <w:rFonts w:ascii="Arial" w:hAnsi="Arial" w:cs="Arial"/>
        </w:rPr>
      </w:pPr>
      <w:r>
        <w:rPr>
          <w:rStyle w:val="Strong"/>
          <w:rFonts w:ascii="Arial" w:hAnsi="Arial" w:cs="Arial"/>
        </w:rPr>
        <w:t>Enrichment and Pastoral Support:</w:t>
      </w:r>
    </w:p>
    <w:p>
      <w:pPr>
        <w:pStyle w:val="NormalWeb"/>
        <w:numPr>
          <w:ilvl w:val="1"/>
          <w:numId w:val="30"/>
        </w:numPr>
        <w:rPr>
          <w:rFonts w:ascii="Arial" w:hAnsi="Arial" w:cs="Arial"/>
        </w:rPr>
      </w:pPr>
      <w:r>
        <w:rPr>
          <w:rFonts w:ascii="Arial" w:hAnsi="Arial" w:cs="Arial"/>
        </w:rPr>
        <w:lastRenderedPageBreak/>
        <w:t>Offer a range of enrichment activities, including sports, arts, and outdoor learning, to boost confidence and engagement.</w:t>
      </w:r>
    </w:p>
    <w:p>
      <w:pPr>
        <w:pStyle w:val="NormalWeb"/>
        <w:numPr>
          <w:ilvl w:val="1"/>
          <w:numId w:val="30"/>
        </w:numPr>
        <w:rPr>
          <w:rFonts w:ascii="Arial" w:hAnsi="Arial" w:cs="Arial"/>
        </w:rPr>
      </w:pPr>
      <w:r>
        <w:rPr>
          <w:rFonts w:ascii="Arial" w:hAnsi="Arial" w:cs="Arial"/>
        </w:rPr>
        <w:t>Develop the school's indoor and outdoor SEN provision to enhance social skills and support children in achieving their EHCP and ILP targets.</w:t>
      </w:r>
    </w:p>
    <w:p>
      <w:pPr>
        <w:pStyle w:val="NormalWeb"/>
        <w:numPr>
          <w:ilvl w:val="1"/>
          <w:numId w:val="30"/>
        </w:numPr>
        <w:rPr>
          <w:rFonts w:ascii="Arial" w:hAnsi="Arial" w:cs="Arial"/>
        </w:rPr>
      </w:pPr>
      <w:r>
        <w:rPr>
          <w:rFonts w:ascii="Arial" w:hAnsi="Arial" w:cs="Arial"/>
        </w:rPr>
        <w:t>Maintain robust safeguarding practices and provide pastoral support to address emotional and well-being needs.</w:t>
      </w:r>
    </w:p>
    <w:p>
      <w:pPr>
        <w:pStyle w:val="NormalWeb"/>
        <w:rPr>
          <w:rStyle w:val="Strong"/>
        </w:rPr>
      </w:pPr>
      <w:r>
        <w:rPr>
          <w:rStyle w:val="Strong"/>
          <w:rFonts w:ascii="Arial" w:hAnsi="Arial" w:cs="Arial"/>
        </w:rPr>
        <w:t>Monitoring and Evaluation:</w:t>
      </w:r>
    </w:p>
    <w:p>
      <w:pPr>
        <w:pStyle w:val="NormalWeb"/>
        <w:numPr>
          <w:ilvl w:val="0"/>
          <w:numId w:val="31"/>
        </w:numPr>
      </w:pPr>
      <w:r>
        <w:rPr>
          <w:rFonts w:ascii="Arial" w:hAnsi="Arial" w:cs="Arial"/>
        </w:rPr>
        <w:t>Conduct regular assessment reviews to track progress and adapt interventions as needed.</w:t>
      </w:r>
    </w:p>
    <w:p>
      <w:pPr>
        <w:pStyle w:val="NormalWeb"/>
        <w:numPr>
          <w:ilvl w:val="0"/>
          <w:numId w:val="32"/>
        </w:numPr>
        <w:rPr>
          <w:rFonts w:ascii="Arial" w:hAnsi="Arial" w:cs="Arial"/>
        </w:rPr>
      </w:pPr>
      <w:r>
        <w:rPr>
          <w:rFonts w:ascii="Arial" w:hAnsi="Arial" w:cs="Arial"/>
        </w:rPr>
        <w:t>Use pupil voice to assess the impact of strategies on learning and well-being.</w:t>
      </w:r>
    </w:p>
    <w:p>
      <w:pPr>
        <w:pStyle w:val="NormalWeb"/>
        <w:numPr>
          <w:ilvl w:val="0"/>
          <w:numId w:val="33"/>
        </w:numPr>
        <w:rPr>
          <w:rFonts w:ascii="Arial" w:hAnsi="Arial" w:cs="Arial"/>
        </w:rPr>
      </w:pPr>
      <w:r>
        <w:rPr>
          <w:rFonts w:ascii="Arial" w:hAnsi="Arial" w:cs="Arial"/>
        </w:rPr>
        <w:t>Maintain close communication with parents and carers to ensure collaborative support.</w:t>
      </w:r>
    </w:p>
    <w:p>
      <w:pPr>
        <w:pStyle w:val="NormalWeb"/>
        <w:rPr>
          <w:rStyle w:val="Strong"/>
        </w:rPr>
      </w:pPr>
      <w:r>
        <w:rPr>
          <w:rStyle w:val="Strong"/>
          <w:rFonts w:ascii="Arial" w:hAnsi="Arial" w:cs="Arial"/>
        </w:rPr>
        <w:t>Success Criteria:</w:t>
      </w:r>
    </w:p>
    <w:p>
      <w:pPr>
        <w:pStyle w:val="NormalWeb"/>
        <w:numPr>
          <w:ilvl w:val="0"/>
          <w:numId w:val="34"/>
        </w:numPr>
      </w:pPr>
      <w:r>
        <w:rPr>
          <w:rFonts w:ascii="Arial" w:hAnsi="Arial" w:cs="Arial"/>
        </w:rPr>
        <w:t>Improved attainment and progress outcomes for Pupil Premium pupils, closing the gap with non-Pupil Premium peers.</w:t>
      </w:r>
    </w:p>
    <w:p>
      <w:pPr>
        <w:pStyle w:val="NormalWeb"/>
        <w:numPr>
          <w:ilvl w:val="0"/>
          <w:numId w:val="35"/>
        </w:numPr>
        <w:rPr>
          <w:rFonts w:ascii="Arial" w:hAnsi="Arial" w:cs="Arial"/>
        </w:rPr>
      </w:pPr>
      <w:r>
        <w:rPr>
          <w:rFonts w:ascii="Arial" w:hAnsi="Arial" w:cs="Arial"/>
        </w:rPr>
        <w:t>Increased engagement in learning and school life.</w:t>
      </w:r>
    </w:p>
    <w:p>
      <w:pPr>
        <w:pStyle w:val="NormalWeb"/>
        <w:numPr>
          <w:ilvl w:val="0"/>
          <w:numId w:val="36"/>
        </w:numPr>
        <w:rPr>
          <w:rFonts w:ascii="Arial" w:hAnsi="Arial" w:cs="Arial"/>
        </w:rPr>
      </w:pPr>
      <w:r>
        <w:rPr>
          <w:rFonts w:ascii="Arial" w:hAnsi="Arial" w:cs="Arial"/>
        </w:rPr>
        <w:t>Enhanced emotional well-being and resilience, enabling pupils to thrive academically and socially.</w:t>
      </w:r>
    </w:p>
    <w:p>
      <w:pPr>
        <w:pStyle w:val="NormalWeb"/>
        <w:rPr>
          <w:rFonts w:ascii="Arial" w:hAnsi="Arial" w:cs="Arial"/>
        </w:rPr>
      </w:pPr>
    </w:p>
    <w:p>
      <w:pPr>
        <w:pStyle w:val="NormalWeb"/>
        <w:rPr>
          <w:rFonts w:ascii="Arial" w:hAnsi="Arial" w:cs="Arial"/>
        </w:rPr>
      </w:pPr>
      <w:r>
        <w:rPr>
          <w:rFonts w:ascii="Arial" w:hAnsi="Arial" w:cs="Arial"/>
        </w:rPr>
        <w:t>By adopting this comprehensive approach, Bowerham Primary and Nursery School and Baby Unit are committed to ensuring that every child, regardless of background, receives the support they need to achieve their full potential.</w:t>
      </w:r>
    </w:p>
    <w:p>
      <w:pPr>
        <w:pStyle w:val="Heading2"/>
        <w:spacing w:before="600"/>
      </w:pPr>
      <w:r>
        <w:t>Challenges</w:t>
      </w:r>
    </w:p>
    <w:p>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pPr>
              <w:pStyle w:val="TableHeader"/>
              <w:ind w:left="0" w:right="0"/>
              <w:jc w:val="left"/>
            </w:pPr>
            <w:r>
              <w:t>Challenge number</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pPr>
              <w:pStyle w:val="TableHeader"/>
              <w:ind w:left="0" w:right="0"/>
              <w:jc w:val="left"/>
            </w:pPr>
            <w:r>
              <w:t xml:space="preserve">Detail of challenge </w:t>
            </w:r>
          </w:p>
        </w:tc>
      </w:tr>
      <w:tr>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sz w:val="22"/>
                <w:szCs w:val="22"/>
              </w:rPr>
            </w:pPr>
            <w:r>
              <w:rPr>
                <w:sz w:val="22"/>
                <w:szCs w:val="22"/>
              </w:rPr>
              <w:t>1</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suppressAutoHyphens w:val="0"/>
              <w:autoSpaceDN/>
              <w:spacing w:before="100" w:beforeAutospacing="1" w:after="100" w:afterAutospacing="1" w:line="240" w:lineRule="auto"/>
              <w:rPr>
                <w:rFonts w:eastAsia="Arial" w:cs="Arial"/>
              </w:rPr>
            </w:pPr>
            <w:r>
              <w:rPr>
                <w:rFonts w:eastAsia="Arial" w:cs="Arial"/>
                <w:b/>
                <w:bCs/>
              </w:rPr>
              <w:t>Gaps in vocabulary, reading fluency and writing stamina, particularly KS1 &amp; KS2</w:t>
            </w:r>
          </w:p>
        </w:tc>
      </w:tr>
      <w:tr>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sz w:val="22"/>
                <w:szCs w:val="22"/>
              </w:rPr>
            </w:pPr>
            <w:r>
              <w:rPr>
                <w:sz w:val="22"/>
                <w:szCs w:val="22"/>
              </w:rPr>
              <w:t>2</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suppressAutoHyphens w:val="0"/>
              <w:autoSpaceDN/>
              <w:spacing w:before="100" w:beforeAutospacing="1" w:after="100" w:afterAutospacing="1" w:line="240" w:lineRule="auto"/>
              <w:rPr>
                <w:rFonts w:eastAsia="Arial" w:cs="Arial"/>
              </w:rPr>
            </w:pPr>
            <w:r>
              <w:rPr>
                <w:rFonts w:eastAsia="Arial" w:cs="Arial"/>
                <w:b/>
                <w:bCs/>
              </w:rPr>
              <w:t>Learning and developmental needs including SEND, SALT and complex needs</w:t>
            </w:r>
          </w:p>
        </w:tc>
      </w:tr>
      <w:tr>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sz w:val="22"/>
                <w:szCs w:val="22"/>
              </w:rPr>
            </w:pPr>
            <w:r>
              <w:rPr>
                <w:sz w:val="22"/>
                <w:szCs w:val="22"/>
              </w:rPr>
              <w:t>3</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suppressAutoHyphens w:val="0"/>
              <w:autoSpaceDN/>
              <w:spacing w:before="100" w:beforeAutospacing="1" w:after="100" w:afterAutospacing="1" w:line="240" w:lineRule="auto"/>
              <w:rPr>
                <w:rFonts w:eastAsia="Arial" w:cs="Arial"/>
                <w:sz w:val="22"/>
                <w:szCs w:val="22"/>
              </w:rPr>
            </w:pPr>
            <w:r>
              <w:rPr>
                <w:rFonts w:eastAsia="Arial" w:cs="Arial"/>
                <w:b/>
                <w:bCs/>
              </w:rPr>
              <w:t>Limited cultural capital and narrow experiences impacting writing &amp; reasoning</w:t>
            </w:r>
          </w:p>
        </w:tc>
      </w:tr>
      <w:tr>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sz w:val="22"/>
                <w:szCs w:val="22"/>
              </w:rPr>
            </w:pPr>
            <w:r>
              <w:rPr>
                <w:sz w:val="22"/>
                <w:szCs w:val="22"/>
              </w:rPr>
              <w:t>4</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suppressAutoHyphens w:val="0"/>
              <w:autoSpaceDN/>
              <w:spacing w:before="100" w:beforeAutospacing="1" w:after="100" w:afterAutospacing="1" w:line="240" w:lineRule="auto"/>
              <w:rPr>
                <w:rFonts w:eastAsia="Arial" w:cs="Arial"/>
              </w:rPr>
            </w:pPr>
            <w:r>
              <w:rPr>
                <w:rFonts w:eastAsia="Arial" w:cs="Arial"/>
                <w:b/>
                <w:bCs/>
              </w:rPr>
              <w:t>Attendance, punctuality and inconsistent home learning routines</w:t>
            </w:r>
          </w:p>
        </w:tc>
      </w:tr>
      <w:tr>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sz w:val="22"/>
                <w:szCs w:val="22"/>
              </w:rPr>
            </w:pPr>
            <w:bookmarkStart w:id="16" w:name="_Toc443397160"/>
            <w:r>
              <w:rPr>
                <w:sz w:val="22"/>
                <w:szCs w:val="22"/>
              </w:rPr>
              <w:t>5</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suppressAutoHyphens w:val="0"/>
              <w:autoSpaceDN/>
              <w:spacing w:before="100" w:beforeAutospacing="1" w:after="100" w:afterAutospacing="1" w:line="240" w:lineRule="auto"/>
              <w:rPr>
                <w:rFonts w:eastAsia="Arial" w:cs="Arial"/>
              </w:rPr>
            </w:pPr>
            <w:r>
              <w:rPr>
                <w:rFonts w:eastAsia="Arial" w:cs="Arial"/>
                <w:b/>
                <w:bCs/>
              </w:rPr>
              <w:t>Emotional well-being, confidence and behaviour vulnerabilities</w:t>
            </w:r>
          </w:p>
        </w:tc>
      </w:tr>
      <w:tr>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sz w:val="22"/>
                <w:szCs w:val="22"/>
              </w:rPr>
            </w:pPr>
            <w:r>
              <w:rPr>
                <w:sz w:val="22"/>
                <w:szCs w:val="22"/>
              </w:rPr>
              <w:lastRenderedPageBreak/>
              <w:t>6</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suppressAutoHyphens w:val="0"/>
              <w:autoSpaceDN/>
              <w:spacing w:before="100" w:beforeAutospacing="1" w:after="100" w:afterAutospacing="1" w:line="240" w:lineRule="auto"/>
              <w:rPr>
                <w:rFonts w:eastAsia="Arial" w:cs="Arial"/>
              </w:rPr>
            </w:pPr>
            <w:r>
              <w:rPr>
                <w:rFonts w:eastAsia="Arial" w:cs="Arial"/>
                <w:b/>
                <w:bCs/>
              </w:rPr>
              <w:t>Parental engagement variability, multi-agency involvement and low priority placed on education</w:t>
            </w:r>
          </w:p>
        </w:tc>
      </w:tr>
      <w:tr>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sz w:val="22"/>
                <w:szCs w:val="22"/>
              </w:rPr>
            </w:pPr>
            <w:r>
              <w:rPr>
                <w:sz w:val="22"/>
                <w:szCs w:val="22"/>
              </w:rPr>
              <w:t>7</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suppressAutoHyphens w:val="0"/>
              <w:autoSpaceDN/>
              <w:spacing w:before="100" w:beforeAutospacing="1" w:after="100" w:afterAutospacing="1" w:line="240" w:lineRule="auto"/>
              <w:rPr>
                <w:rFonts w:eastAsia="Arial" w:cs="Arial"/>
              </w:rPr>
            </w:pPr>
            <w:r>
              <w:rPr>
                <w:rFonts w:eastAsia="Arial" w:cs="Arial"/>
                <w:b/>
                <w:bCs/>
              </w:rPr>
              <w:t>High screen use, sleep disruption and reduced real-world interaction</w:t>
            </w:r>
          </w:p>
        </w:tc>
      </w:tr>
      <w:tr>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rPr>
                <w:sz w:val="22"/>
                <w:szCs w:val="22"/>
              </w:rPr>
            </w:pPr>
            <w:r>
              <w:rPr>
                <w:sz w:val="22"/>
                <w:szCs w:val="22"/>
              </w:rPr>
              <w:t>8</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suppressAutoHyphens w:val="0"/>
              <w:autoSpaceDN/>
              <w:spacing w:before="100" w:beforeAutospacing="1" w:after="100" w:afterAutospacing="1" w:line="240" w:lineRule="auto"/>
              <w:rPr>
                <w:rFonts w:eastAsia="Arial" w:cs="Arial"/>
              </w:rPr>
            </w:pPr>
            <w:r>
              <w:rPr>
                <w:rFonts w:eastAsia="Arial" w:cs="Arial"/>
                <w:b/>
                <w:bCs/>
              </w:rPr>
              <w:t>Limited family capacity due to disadvantage, thresholds for service support rising</w:t>
            </w:r>
          </w:p>
        </w:tc>
      </w:tr>
    </w:tbl>
    <w:p>
      <w:pPr>
        <w:pStyle w:val="Heading2"/>
        <w:spacing w:before="600"/>
      </w:pPr>
      <w:r>
        <w:t xml:space="preserve">Intended outcomes </w:t>
      </w:r>
    </w:p>
    <w:p>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CellMar>
          <w:left w:w="10" w:type="dxa"/>
          <w:right w:w="10" w:type="dxa"/>
        </w:tblCellMar>
        <w:tblLook w:val="04A0" w:firstRow="1" w:lastRow="0" w:firstColumn="1" w:lastColumn="0" w:noHBand="0" w:noVBand="1"/>
      </w:tblPr>
      <w:tblGrid>
        <w:gridCol w:w="4805"/>
        <w:gridCol w:w="4661"/>
      </w:tblGrid>
      <w:tr>
        <w:tc>
          <w:tcPr>
            <w:tcW w:w="4815" w:type="dxa"/>
            <w:shd w:val="clear" w:color="auto" w:fill="CFDCE3"/>
            <w:tcMar>
              <w:top w:w="0" w:type="dxa"/>
              <w:left w:w="108" w:type="dxa"/>
              <w:bottom w:w="0" w:type="dxa"/>
              <w:right w:w="108" w:type="dxa"/>
            </w:tcMar>
          </w:tcPr>
          <w:p>
            <w:pPr>
              <w:pStyle w:val="TableHeader"/>
              <w:ind w:left="0" w:right="0"/>
              <w:jc w:val="left"/>
            </w:pPr>
            <w:r>
              <w:t>Intended outcome</w:t>
            </w:r>
          </w:p>
        </w:tc>
        <w:tc>
          <w:tcPr>
            <w:tcW w:w="4671" w:type="dxa"/>
            <w:shd w:val="clear" w:color="auto" w:fill="CFDCE3"/>
            <w:tcMar>
              <w:top w:w="0" w:type="dxa"/>
              <w:left w:w="108" w:type="dxa"/>
              <w:bottom w:w="0" w:type="dxa"/>
              <w:right w:w="108" w:type="dxa"/>
            </w:tcMar>
          </w:tcPr>
          <w:p>
            <w:pPr>
              <w:pStyle w:val="TableHeader"/>
              <w:ind w:left="0" w:right="0"/>
              <w:jc w:val="left"/>
            </w:pPr>
            <w:r>
              <w:t>Success criteria</w:t>
            </w:r>
          </w:p>
        </w:tc>
      </w:tr>
      <w:tr>
        <w:tc>
          <w:tcPr>
            <w:tcW w:w="4815" w:type="dxa"/>
            <w:tcMar>
              <w:top w:w="0" w:type="dxa"/>
              <w:left w:w="108" w:type="dxa"/>
              <w:bottom w:w="0" w:type="dxa"/>
              <w:right w:w="108" w:type="dxa"/>
            </w:tcMar>
            <w:vAlign w:val="center"/>
          </w:tcPr>
          <w:p>
            <w:pPr>
              <w:pStyle w:val="TableRow"/>
              <w:ind w:left="0" w:right="0"/>
              <w:rPr>
                <w:rFonts w:cs="Arial"/>
              </w:rPr>
            </w:pPr>
            <w:r>
              <w:rPr>
                <w:rFonts w:cs="Arial"/>
              </w:rPr>
              <w:t>PP pupils attain in line with peers across core subjects</w:t>
            </w:r>
          </w:p>
        </w:tc>
        <w:tc>
          <w:tcPr>
            <w:tcW w:w="4671" w:type="dxa"/>
            <w:tcMar>
              <w:top w:w="0" w:type="dxa"/>
              <w:left w:w="108" w:type="dxa"/>
              <w:bottom w:w="0" w:type="dxa"/>
              <w:right w:w="108" w:type="dxa"/>
            </w:tcMar>
            <w:vAlign w:val="center"/>
          </w:tcPr>
          <w:p>
            <w:pPr>
              <w:pStyle w:val="TableRowCentered"/>
              <w:ind w:left="0" w:right="0"/>
              <w:jc w:val="left"/>
              <w:rPr>
                <w:rFonts w:cs="Arial"/>
                <w:sz w:val="22"/>
                <w:szCs w:val="22"/>
              </w:rPr>
            </w:pPr>
            <w:r>
              <w:rPr>
                <w:rFonts w:cs="Arial"/>
              </w:rPr>
              <w:t>Gap narrows in reading, writing and mathematics</w:t>
            </w:r>
          </w:p>
        </w:tc>
      </w:tr>
      <w:tr>
        <w:tc>
          <w:tcPr>
            <w:tcW w:w="4815" w:type="dxa"/>
            <w:tcMar>
              <w:top w:w="0" w:type="dxa"/>
              <w:left w:w="108" w:type="dxa"/>
              <w:bottom w:w="0" w:type="dxa"/>
              <w:right w:w="108" w:type="dxa"/>
            </w:tcMar>
            <w:vAlign w:val="center"/>
          </w:tcPr>
          <w:p>
            <w:pPr>
              <w:pStyle w:val="TableRow"/>
              <w:ind w:left="0" w:right="0"/>
              <w:rPr>
                <w:rFonts w:cs="Arial"/>
                <w:sz w:val="22"/>
                <w:szCs w:val="22"/>
              </w:rPr>
            </w:pPr>
            <w:r>
              <w:rPr>
                <w:rFonts w:cs="Arial"/>
              </w:rPr>
              <w:t>Targeted pupils make accelerated progress</w:t>
            </w:r>
          </w:p>
        </w:tc>
        <w:tc>
          <w:tcPr>
            <w:tcW w:w="4671" w:type="dxa"/>
            <w:tcMar>
              <w:top w:w="0" w:type="dxa"/>
              <w:left w:w="108" w:type="dxa"/>
              <w:bottom w:w="0" w:type="dxa"/>
              <w:right w:w="108" w:type="dxa"/>
            </w:tcMar>
            <w:vAlign w:val="center"/>
          </w:tcPr>
          <w:p>
            <w:pPr>
              <w:pStyle w:val="TableRowCentered"/>
              <w:ind w:left="0" w:right="0"/>
              <w:jc w:val="left"/>
              <w:rPr>
                <w:rFonts w:cs="Arial"/>
                <w:sz w:val="22"/>
                <w:szCs w:val="22"/>
              </w:rPr>
            </w:pPr>
            <w:r>
              <w:rPr>
                <w:rFonts w:cs="Arial"/>
              </w:rPr>
              <w:t>Data shows improved trajectory term-on-term</w:t>
            </w:r>
          </w:p>
        </w:tc>
      </w:tr>
      <w:tr>
        <w:tc>
          <w:tcPr>
            <w:tcW w:w="4815" w:type="dxa"/>
            <w:tcMar>
              <w:top w:w="0" w:type="dxa"/>
              <w:left w:w="108" w:type="dxa"/>
              <w:bottom w:w="0" w:type="dxa"/>
              <w:right w:w="108" w:type="dxa"/>
            </w:tcMar>
            <w:vAlign w:val="center"/>
          </w:tcPr>
          <w:p>
            <w:pPr>
              <w:pStyle w:val="TableRow"/>
              <w:ind w:left="0" w:right="0"/>
              <w:rPr>
                <w:rFonts w:cs="Arial"/>
                <w:sz w:val="22"/>
                <w:szCs w:val="22"/>
              </w:rPr>
            </w:pPr>
            <w:r>
              <w:rPr>
                <w:rFonts w:cs="Arial"/>
              </w:rPr>
              <w:t>Increased engagement and confidence</w:t>
            </w:r>
          </w:p>
        </w:tc>
        <w:tc>
          <w:tcPr>
            <w:tcW w:w="4671" w:type="dxa"/>
            <w:tcMar>
              <w:top w:w="0" w:type="dxa"/>
              <w:left w:w="108" w:type="dxa"/>
              <w:bottom w:w="0" w:type="dxa"/>
              <w:right w:w="108" w:type="dxa"/>
            </w:tcMar>
            <w:vAlign w:val="center"/>
          </w:tcPr>
          <w:p>
            <w:pPr>
              <w:pStyle w:val="TableRowCentered"/>
              <w:ind w:left="0" w:right="0"/>
              <w:jc w:val="left"/>
              <w:rPr>
                <w:rFonts w:cs="Arial"/>
                <w:sz w:val="22"/>
                <w:szCs w:val="22"/>
              </w:rPr>
            </w:pPr>
            <w:r>
              <w:rPr>
                <w:rFonts w:cs="Arial"/>
              </w:rPr>
              <w:t>Improved participation and pupil voice feedback</w:t>
            </w:r>
          </w:p>
        </w:tc>
      </w:tr>
      <w:tr>
        <w:tc>
          <w:tcPr>
            <w:tcW w:w="4815" w:type="dxa"/>
            <w:tcMar>
              <w:top w:w="0" w:type="dxa"/>
              <w:left w:w="108" w:type="dxa"/>
              <w:bottom w:w="0" w:type="dxa"/>
              <w:right w:w="108" w:type="dxa"/>
            </w:tcMar>
            <w:vAlign w:val="center"/>
          </w:tcPr>
          <w:p>
            <w:pPr>
              <w:pStyle w:val="TableRow"/>
              <w:ind w:left="0" w:right="0"/>
              <w:rPr>
                <w:rFonts w:cs="Arial"/>
                <w:sz w:val="22"/>
                <w:szCs w:val="22"/>
              </w:rPr>
            </w:pPr>
            <w:r>
              <w:rPr>
                <w:rFonts w:cs="Arial"/>
              </w:rPr>
              <w:t>Improved emotional well-being</w:t>
            </w:r>
          </w:p>
        </w:tc>
        <w:tc>
          <w:tcPr>
            <w:tcW w:w="4671" w:type="dxa"/>
            <w:tcMar>
              <w:top w:w="0" w:type="dxa"/>
              <w:left w:w="108" w:type="dxa"/>
              <w:bottom w:w="0" w:type="dxa"/>
              <w:right w:w="108" w:type="dxa"/>
            </w:tcMar>
            <w:vAlign w:val="center"/>
          </w:tcPr>
          <w:p>
            <w:pPr>
              <w:pStyle w:val="TableRowCentered"/>
              <w:ind w:left="0" w:right="0"/>
              <w:jc w:val="left"/>
              <w:rPr>
                <w:rFonts w:cs="Arial"/>
                <w:sz w:val="22"/>
                <w:szCs w:val="22"/>
              </w:rPr>
            </w:pPr>
            <w:r>
              <w:rPr>
                <w:rFonts w:cs="Arial"/>
              </w:rPr>
              <w:t>Reduction in safeguarding, attendance and SEMH concerns</w:t>
            </w:r>
          </w:p>
        </w:tc>
      </w:tr>
      <w:tr>
        <w:tc>
          <w:tcPr>
            <w:tcW w:w="4815" w:type="dxa"/>
            <w:tcMar>
              <w:top w:w="0" w:type="dxa"/>
              <w:left w:w="108" w:type="dxa"/>
              <w:bottom w:w="0" w:type="dxa"/>
              <w:right w:w="108" w:type="dxa"/>
            </w:tcMar>
            <w:vAlign w:val="center"/>
          </w:tcPr>
          <w:p>
            <w:pPr>
              <w:pStyle w:val="TableRow"/>
              <w:ind w:left="0" w:right="0"/>
              <w:rPr>
                <w:rFonts w:cs="Arial"/>
                <w:sz w:val="22"/>
                <w:szCs w:val="22"/>
              </w:rPr>
            </w:pPr>
            <w:r>
              <w:rPr>
                <w:rFonts w:cs="Arial"/>
              </w:rPr>
              <w:t>Families confidently support learning</w:t>
            </w:r>
          </w:p>
        </w:tc>
        <w:tc>
          <w:tcPr>
            <w:tcW w:w="4671" w:type="dxa"/>
            <w:tcMar>
              <w:top w:w="0" w:type="dxa"/>
              <w:left w:w="108" w:type="dxa"/>
              <w:bottom w:w="0" w:type="dxa"/>
              <w:right w:w="108" w:type="dxa"/>
            </w:tcMar>
            <w:vAlign w:val="center"/>
          </w:tcPr>
          <w:p>
            <w:pPr>
              <w:pStyle w:val="TableRowCentered"/>
              <w:ind w:left="0" w:right="0"/>
              <w:jc w:val="left"/>
              <w:rPr>
                <w:rFonts w:cs="Arial"/>
                <w:sz w:val="22"/>
                <w:szCs w:val="22"/>
              </w:rPr>
            </w:pPr>
            <w:r>
              <w:rPr>
                <w:rFonts w:cs="Arial"/>
              </w:rPr>
              <w:t>Parent engagement increases, workshop attendance improves</w:t>
            </w:r>
          </w:p>
        </w:tc>
      </w:tr>
      <w:tr>
        <w:tc>
          <w:tcPr>
            <w:tcW w:w="4815" w:type="dxa"/>
            <w:tcMar>
              <w:top w:w="0" w:type="dxa"/>
              <w:left w:w="108" w:type="dxa"/>
              <w:bottom w:w="0" w:type="dxa"/>
              <w:right w:w="108" w:type="dxa"/>
            </w:tcMar>
            <w:vAlign w:val="center"/>
          </w:tcPr>
          <w:p>
            <w:pPr>
              <w:pStyle w:val="TableRow"/>
              <w:ind w:left="0" w:right="0"/>
              <w:rPr>
                <w:rFonts w:cs="Arial"/>
                <w:sz w:val="22"/>
                <w:szCs w:val="22"/>
              </w:rPr>
            </w:pPr>
            <w:r>
              <w:rPr>
                <w:rFonts w:cs="Arial"/>
              </w:rPr>
              <w:t>Nursery pupils enter school closer to age-related expectations</w:t>
            </w:r>
          </w:p>
        </w:tc>
        <w:tc>
          <w:tcPr>
            <w:tcW w:w="4671" w:type="dxa"/>
            <w:tcMar>
              <w:top w:w="0" w:type="dxa"/>
              <w:left w:w="108" w:type="dxa"/>
              <w:bottom w:w="0" w:type="dxa"/>
              <w:right w:w="108" w:type="dxa"/>
            </w:tcMar>
            <w:vAlign w:val="center"/>
          </w:tcPr>
          <w:p>
            <w:pPr>
              <w:pStyle w:val="TableRowCentered"/>
              <w:ind w:left="0" w:right="0"/>
              <w:jc w:val="left"/>
              <w:rPr>
                <w:rFonts w:cs="Arial"/>
                <w:sz w:val="22"/>
                <w:szCs w:val="22"/>
              </w:rPr>
            </w:pPr>
            <w:r>
              <w:rPr>
                <w:rFonts w:cs="Arial"/>
              </w:rPr>
              <w:t>GLD gap reduces year-on-year</w:t>
            </w:r>
          </w:p>
        </w:tc>
      </w:tr>
    </w:tbl>
    <w:p/>
    <w:p>
      <w:pPr>
        <w:pStyle w:val="Heading2"/>
      </w:pPr>
      <w:r>
        <w:t>Activity in this academic year</w:t>
      </w:r>
    </w:p>
    <w:p>
      <w:pPr>
        <w:spacing w:after="480"/>
      </w:pPr>
      <w:r>
        <w:t xml:space="preserve">This details how we intend to spend our pupil premium funding </w:t>
      </w:r>
      <w:r>
        <w:rPr>
          <w:b/>
          <w:bCs/>
        </w:rPr>
        <w:t>this academic year</w:t>
      </w:r>
      <w:r>
        <w:t xml:space="preserve"> to address the challenges listed above.</w:t>
      </w:r>
    </w:p>
    <w:p>
      <w:pPr>
        <w:pStyle w:val="Heading3"/>
      </w:pPr>
      <w:r>
        <w:t>Teaching (for example, CPD, recruitment and retention)</w:t>
      </w:r>
    </w:p>
    <w:p>
      <w:pPr>
        <w:rPr>
          <w:i/>
          <w:iCs/>
        </w:rPr>
      </w:pPr>
      <w:r>
        <w:t>Budgeted cost: £54,000</w:t>
      </w:r>
    </w:p>
    <w:tbl>
      <w:tblPr>
        <w:tblW w:w="5000" w:type="pct"/>
        <w:tblCellMar>
          <w:left w:w="10" w:type="dxa"/>
          <w:right w:w="10" w:type="dxa"/>
        </w:tblCellMar>
        <w:tblLook w:val="04A0" w:firstRow="1" w:lastRow="0" w:firstColumn="1" w:lastColumn="0" w:noHBand="0" w:noVBand="1"/>
      </w:tblPr>
      <w:tblGrid>
        <w:gridCol w:w="2688"/>
        <w:gridCol w:w="4254"/>
        <w:gridCol w:w="2544"/>
      </w:tblGrid>
      <w:tr>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pPr>
              <w:pStyle w:val="TableHeader"/>
              <w:ind w:left="0" w:right="0"/>
              <w:jc w:val="left"/>
            </w:pPr>
            <w:r>
              <w:t>Challenge number(s) addressed</w:t>
            </w:r>
          </w:p>
        </w:tc>
      </w:tr>
      <w:tr>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pStyle w:val="TableRow"/>
              <w:ind w:left="0" w:right="0"/>
              <w:rPr>
                <w:rFonts w:eastAsia="Arial" w:cs="Arial"/>
              </w:rPr>
            </w:pPr>
            <w:r>
              <w:rPr>
                <w:rFonts w:eastAsia="Arial" w:cs="Arial"/>
              </w:rPr>
              <w:t xml:space="preserve">Improved attainment and progress for Pupil Premium pupils, closing the gap with </w:t>
            </w:r>
            <w:r>
              <w:rPr>
                <w:rFonts w:eastAsia="Arial" w:cs="Arial"/>
              </w:rPr>
              <w:lastRenderedPageBreak/>
              <w:t>non-Pupil Premium peers</w:t>
            </w:r>
          </w:p>
          <w:p>
            <w:pPr>
              <w:pStyle w:val="TableRow"/>
              <w:ind w:left="0" w:right="0"/>
            </w:pPr>
            <w:r>
              <w:rPr>
                <w:rFonts w:eastAsia="Arial" w:cs="Arial"/>
              </w:rPr>
              <w:t>Prioritise professional development for staff to enhance teaching strategies that support disadvantaged pupils.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pStyle w:val="TableRowCentered"/>
              <w:ind w:left="0" w:right="0"/>
              <w:jc w:val="left"/>
              <w:rPr>
                <w:sz w:val="22"/>
              </w:rPr>
            </w:pPr>
            <w:r>
              <w:rPr>
                <w:rFonts w:eastAsia="Arial" w:cs="Arial"/>
                <w:szCs w:val="24"/>
              </w:rPr>
              <w:lastRenderedPageBreak/>
              <w:t>Research shows that high-quality teaching disproportionately benefits disadvantaged pupils.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pStyle w:val="TableRowCentered"/>
              <w:ind w:left="0" w:right="0"/>
              <w:jc w:val="left"/>
              <w:rPr>
                <w:sz w:val="22"/>
              </w:rPr>
            </w:pPr>
            <w:r>
              <w:rPr>
                <w:sz w:val="22"/>
              </w:rPr>
              <w:t>1, 2, 3</w:t>
            </w:r>
          </w:p>
        </w:tc>
      </w:tr>
      <w:tr>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spacing w:after="0" w:line="240" w:lineRule="auto"/>
              <w:rPr>
                <w:rFonts w:eastAsia="Arial" w:cs="Arial"/>
              </w:rPr>
            </w:pPr>
            <w:r>
              <w:rPr>
                <w:rFonts w:eastAsia="Arial" w:cs="Arial"/>
              </w:rPr>
              <w:t>. To ensure a strong foundation for children at the start of their learning journey</w:t>
            </w:r>
          </w:p>
          <w:p>
            <w:pPr>
              <w:spacing w:after="0" w:line="240" w:lineRule="auto"/>
              <w:rPr>
                <w:rFonts w:eastAsia="Arial" w:cs="Arial"/>
              </w:rPr>
            </w:pPr>
            <w:r>
              <w:rPr>
                <w:rFonts w:eastAsia="Arial" w:cs="Arial"/>
              </w:rPr>
              <w:t xml:space="preserve"> Fund nursery fees in addition to 15 hours universal from 9 months or 2-year-old funding to support families in need. </w:t>
            </w:r>
          </w:p>
          <w:p>
            <w:pPr>
              <w:spacing w:after="0" w:line="240" w:lineRule="auto"/>
              <w:rPr>
                <w:rFonts w:eastAsia="Arial" w:cs="Arial"/>
              </w:rPr>
            </w:pPr>
          </w:p>
          <w:p>
            <w:pPr>
              <w:rPr>
                <w:rFonts w:eastAsia="Arial" w:cs="Arial"/>
              </w:rPr>
            </w:pPr>
            <w:r>
              <w:rPr>
                <w:rFonts w:eastAsia="Arial" w:cs="Arial"/>
              </w:rPr>
              <w:t xml:space="preserve">Staff training – interactions/role of the adult, language development </w:t>
            </w:r>
          </w:p>
          <w:p>
            <w:pPr>
              <w:rPr>
                <w:rFonts w:eastAsia="Arial" w:cs="Arial"/>
              </w:rPr>
            </w:pPr>
            <w:r>
              <w:rPr>
                <w:rFonts w:eastAsia="Arial" w:cs="Arial"/>
              </w:rPr>
              <w:t xml:space="preserve">Parental workshops alongside child/ren- to increase parental confidence and knowledge </w:t>
            </w:r>
          </w:p>
          <w:p>
            <w:pPr>
              <w:rPr>
                <w:rFonts w:eastAsia="Arial" w:cs="Arial"/>
              </w:rPr>
            </w:pPr>
            <w:proofErr w:type="spellStart"/>
            <w:r>
              <w:rPr>
                <w:rFonts w:eastAsia="Arial" w:cs="Arial"/>
              </w:rPr>
              <w:t>Wellcomm</w:t>
            </w:r>
            <w:proofErr w:type="spellEnd"/>
            <w:r>
              <w:rPr>
                <w:rFonts w:eastAsia="Arial" w:cs="Arial"/>
              </w:rPr>
              <w:t xml:space="preserve"> assessments and referrals to SALT- with appropriate interventions in place </w:t>
            </w:r>
          </w:p>
          <w:p>
            <w:pPr>
              <w:pStyle w:val="TableRow"/>
              <w:ind w:left="0" w:right="0"/>
              <w:rPr>
                <w:i/>
                <w:sz w:val="22"/>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rPr>
                <w:rFonts w:eastAsia="Arial" w:cs="Arial"/>
              </w:rPr>
            </w:pPr>
            <w:r>
              <w:rPr>
                <w:rFonts w:eastAsia="Arial" w:cs="Arial"/>
              </w:rPr>
              <w:t xml:space="preserve">Vocabulary size relates academic success. EYFS is crucial for increasing breadth. </w:t>
            </w:r>
          </w:p>
          <w:p>
            <w:pPr>
              <w:pStyle w:val="TableRowCentered"/>
              <w:ind w:left="0" w:right="0"/>
              <w:jc w:val="left"/>
              <w:rPr>
                <w:sz w:val="22"/>
              </w:rPr>
            </w:pPr>
            <w:r>
              <w:rPr>
                <w:rFonts w:eastAsia="Arial" w:cs="Arial"/>
              </w:rPr>
              <w:t>Parental engagement has a significant impact on pupil progress and outcomes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pStyle w:val="TableRowCentered"/>
              <w:ind w:left="0" w:right="0"/>
              <w:jc w:val="left"/>
              <w:rPr>
                <w:sz w:val="22"/>
              </w:rPr>
            </w:pPr>
            <w:r>
              <w:rPr>
                <w:sz w:val="22"/>
              </w:rPr>
              <w:t>1,2</w:t>
            </w:r>
          </w:p>
        </w:tc>
      </w:tr>
    </w:tbl>
    <w:p/>
    <w:p>
      <w:pPr>
        <w:pStyle w:val="Heading3"/>
      </w:pPr>
      <w:r>
        <w:t xml:space="preserve">Targeted academic support (for example, tutoring, one-to-one support, structured interventions) </w:t>
      </w:r>
    </w:p>
    <w:p>
      <w:pPr>
        <w:rPr>
          <w:i/>
          <w:iCs/>
        </w:rPr>
      </w:pPr>
      <w:r>
        <w:t>Budgeted cost: £48,000</w:t>
      </w:r>
    </w:p>
    <w:tbl>
      <w:tblPr>
        <w:tblW w:w="5000" w:type="pct"/>
        <w:tblCellMar>
          <w:left w:w="10" w:type="dxa"/>
          <w:right w:w="10" w:type="dxa"/>
        </w:tblCellMar>
        <w:tblLook w:val="04A0" w:firstRow="1" w:lastRow="0" w:firstColumn="1" w:lastColumn="0" w:noHBand="0" w:noVBand="1"/>
      </w:tblPr>
      <w:tblGrid>
        <w:gridCol w:w="2688"/>
        <w:gridCol w:w="4254"/>
        <w:gridCol w:w="2544"/>
      </w:tblGrid>
      <w:tr>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pPr>
              <w:pStyle w:val="TableHeader"/>
              <w:ind w:left="0" w:right="0"/>
              <w:jc w:val="left"/>
            </w:pPr>
            <w:r>
              <w:t>Challenge number(s) addressed</w:t>
            </w:r>
          </w:p>
        </w:tc>
      </w:tr>
      <w:tr>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pStyle w:val="TableRow"/>
              <w:ind w:left="0" w:right="0"/>
            </w:pPr>
            <w:r>
              <w:rPr>
                <w:rFonts w:eastAsia="Arial" w:cs="Arial"/>
              </w:rPr>
              <w:lastRenderedPageBreak/>
              <w:t>Accelerated progress through targeted interventions. Implement evidence-based interventions tailored to individual pupil needs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pStyle w:val="TableRowCentered"/>
              <w:ind w:left="0" w:right="0"/>
              <w:jc w:val="left"/>
              <w:rPr>
                <w:sz w:val="22"/>
              </w:rPr>
            </w:pPr>
            <w:r>
              <w:rPr>
                <w:rFonts w:eastAsia="Arial" w:cs="Arial"/>
                <w:szCs w:val="24"/>
              </w:rPr>
              <w:t>Proven impact of tailored interventions on pupil progress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pStyle w:val="TableRowCentered"/>
              <w:ind w:left="0" w:right="0"/>
              <w:jc w:val="left"/>
              <w:rPr>
                <w:sz w:val="22"/>
              </w:rPr>
            </w:pPr>
            <w:r>
              <w:rPr>
                <w:sz w:val="22"/>
              </w:rPr>
              <w:t>1,2,3</w:t>
            </w:r>
          </w:p>
        </w:tc>
      </w:tr>
      <w:tr>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pStyle w:val="TableRow"/>
              <w:ind w:left="0" w:right="0"/>
              <w:rPr>
                <w:i/>
                <w:sz w:val="22"/>
              </w:rPr>
            </w:pPr>
            <w:r>
              <w:rPr>
                <w:rFonts w:eastAsia="Arial" w:cs="Arial"/>
              </w:rPr>
              <w:t>To support a continued and successful learning journey for PCLA and Service children All PCLA to have a PEP to monitor their academic, social and well-being progress ensuring that support and intervention are at the point of need</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rPr>
                <w:rFonts w:eastAsia="Arial" w:cs="Arial"/>
              </w:rPr>
            </w:pPr>
            <w:r>
              <w:rPr>
                <w:rFonts w:eastAsia="Arial" w:cs="Arial"/>
              </w:rPr>
              <w:t xml:space="preserve">Evidence shows that tracking progress and well-being can support each child </w:t>
            </w:r>
          </w:p>
          <w:p>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pStyle w:val="TableRowCentered"/>
              <w:ind w:left="0" w:right="0"/>
              <w:jc w:val="left"/>
              <w:rPr>
                <w:sz w:val="22"/>
              </w:rPr>
            </w:pPr>
            <w:r>
              <w:rPr>
                <w:sz w:val="22"/>
              </w:rPr>
              <w:t>1,5,6</w:t>
            </w:r>
          </w:p>
        </w:tc>
      </w:tr>
      <w:tr>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pStyle w:val="TableRow"/>
              <w:ind w:left="0" w:right="0"/>
              <w:rPr>
                <w:rFonts w:eastAsia="Arial" w:cs="Arial"/>
              </w:rPr>
            </w:pPr>
            <w:r>
              <w:rPr>
                <w:rFonts w:eastAsia="Arial" w:cs="Arial"/>
              </w:rPr>
              <w:t>Develop indoor and outdoor SEN provision to enhance social skills and support EHCP and ILP targets.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rPr>
                <w:rFonts w:eastAsia="Arial" w:cs="Arial"/>
              </w:rPr>
            </w:pPr>
            <w:r>
              <w:rPr>
                <w:rFonts w:eastAsia="Arial" w:cs="Arial"/>
              </w:rPr>
              <w:t>Evidence supports sensory and social spaces for promoting well-being and positive behaviour.</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pPr>
              <w:pStyle w:val="TableRowCentered"/>
              <w:ind w:left="0" w:right="0"/>
              <w:jc w:val="left"/>
              <w:rPr>
                <w:sz w:val="22"/>
              </w:rPr>
            </w:pPr>
            <w:r>
              <w:rPr>
                <w:sz w:val="22"/>
              </w:rPr>
              <w:t>1, 2,6,8</w:t>
            </w:r>
          </w:p>
        </w:tc>
      </w:tr>
    </w:tbl>
    <w:p/>
    <w:p>
      <w:pPr>
        <w:pStyle w:val="Heading3"/>
      </w:pPr>
      <w:r>
        <w:t>Wider strategies (for example, related to attendance, behaviour, wellbeing)</w:t>
      </w:r>
    </w:p>
    <w:p>
      <w:pPr>
        <w:spacing w:before="240" w:after="120"/>
        <w:rPr>
          <w:i/>
          <w:iCs/>
        </w:rPr>
      </w:pPr>
      <w:r>
        <w:t>Budgeted cost: £44,000</w:t>
      </w:r>
    </w:p>
    <w:tbl>
      <w:tblPr>
        <w:tblW w:w="5000" w:type="pct"/>
        <w:tblCellMar>
          <w:left w:w="10" w:type="dxa"/>
          <w:right w:w="10" w:type="dxa"/>
        </w:tblCellMar>
        <w:tblLook w:val="04A0" w:firstRow="1" w:lastRow="0" w:firstColumn="1" w:lastColumn="0" w:noHBand="0" w:noVBand="1"/>
      </w:tblPr>
      <w:tblGrid>
        <w:gridCol w:w="2688"/>
        <w:gridCol w:w="4254"/>
        <w:gridCol w:w="2544"/>
      </w:tblGrid>
      <w:t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pPr>
              <w:pStyle w:val="TableHeader"/>
              <w:ind w:left="0" w:right="0"/>
              <w:jc w:val="left"/>
            </w:pPr>
            <w: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pPr>
              <w:pStyle w:val="TableHeader"/>
              <w:ind w:left="0" w:right="0"/>
              <w:jc w:val="left"/>
            </w:pPr>
            <w: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pPr>
              <w:pStyle w:val="TableHeader"/>
              <w:ind w:left="0" w:right="0"/>
              <w:jc w:val="left"/>
            </w:pPr>
            <w:r>
              <w:t>Challenge number(s) addressed</w:t>
            </w:r>
          </w:p>
        </w:tc>
      </w:tr>
      <w:t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pPr>
            <w:r>
              <w:rPr>
                <w:rFonts w:eastAsia="Arial" w:cs="Arial"/>
              </w:rPr>
              <w:t>Increased engagement and confidence in learning Provide enrichment activities such as sports, arts, and outdoor learning and trips including residentials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pPr>
              <w:pStyle w:val="TableRowCentered"/>
              <w:ind w:left="0" w:right="0"/>
              <w:jc w:val="left"/>
              <w:rPr>
                <w:sz w:val="22"/>
              </w:rPr>
            </w:pPr>
            <w:r>
              <w:rPr>
                <w:rFonts w:eastAsia="Arial" w:cs="Arial"/>
                <w:szCs w:val="24"/>
              </w:rPr>
              <w:t>Studies highlight the link between enrichment and improved self-esteem, resilience, and academic success.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Centered"/>
              <w:ind w:left="0" w:right="0"/>
              <w:jc w:val="left"/>
              <w:rPr>
                <w:sz w:val="22"/>
              </w:rPr>
            </w:pPr>
            <w:r>
              <w:rPr>
                <w:sz w:val="22"/>
              </w:rPr>
              <w:t>1, 5</w:t>
            </w:r>
          </w:p>
        </w:tc>
      </w:tr>
      <w:t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rPr>
                <w:rFonts w:eastAsia="Arial" w:cs="Arial"/>
              </w:rPr>
            </w:pPr>
            <w:r>
              <w:rPr>
                <w:rFonts w:eastAsia="Arial" w:cs="Arial"/>
              </w:rPr>
              <w:t xml:space="preserve">Improved emotional well-being and readiness to learn. Home learning resources- lending </w:t>
            </w:r>
            <w:r>
              <w:rPr>
                <w:rFonts w:eastAsia="Arial" w:cs="Arial"/>
              </w:rPr>
              <w:lastRenderedPageBreak/>
              <w:t>library bags, PSED resources etc.</w:t>
            </w:r>
          </w:p>
          <w:p>
            <w:pPr>
              <w:pStyle w:val="TableRow"/>
              <w:ind w:right="0"/>
              <w:rPr>
                <w:i/>
                <w:sz w:val="22"/>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Centered"/>
              <w:jc w:val="left"/>
              <w:rPr>
                <w:sz w:val="22"/>
              </w:rPr>
            </w:pPr>
            <w:r>
              <w:rPr>
                <w:sz w:val="22"/>
              </w:rPr>
              <w:lastRenderedPageBreak/>
              <w:t>Strong evidence shows that Social and Emotional Learning (SEL) interventions significantly benefit children—especially those from disadvantaged backgrounds.</w:t>
            </w:r>
          </w:p>
          <w:p>
            <w:pPr>
              <w:pStyle w:val="TableRowCentered"/>
              <w:jc w:val="left"/>
              <w:rPr>
                <w:sz w:val="22"/>
              </w:rPr>
            </w:pPr>
          </w:p>
          <w:p>
            <w:pPr>
              <w:pStyle w:val="TableRowCentered"/>
              <w:jc w:val="left"/>
              <w:rPr>
                <w:sz w:val="22"/>
              </w:rPr>
            </w:pPr>
            <w:r>
              <w:rPr>
                <w:sz w:val="22"/>
              </w:rPr>
              <w:t xml:space="preserve">The Education Endowment Foundation (EEF) reports that SEL approaches lead to an average of +3 months’ progress </w:t>
            </w:r>
            <w:r>
              <w:rPr>
                <w:sz w:val="22"/>
              </w:rPr>
              <w:lastRenderedPageBreak/>
              <w:t>and improve self</w:t>
            </w:r>
            <w:r>
              <w:rPr>
                <w:rFonts w:ascii="Cambria Math" w:hAnsi="Cambria Math" w:cs="Cambria Math"/>
                <w:sz w:val="22"/>
              </w:rPr>
              <w:t>‑</w:t>
            </w:r>
            <w:r>
              <w:rPr>
                <w:sz w:val="22"/>
              </w:rPr>
              <w:t xml:space="preserve">management of emotions, social interaction, and </w:t>
            </w:r>
            <w:proofErr w:type="gramStart"/>
            <w:r>
              <w:rPr>
                <w:sz w:val="22"/>
              </w:rPr>
              <w:t>overall</w:t>
            </w:r>
            <w:proofErr w:type="gramEnd"/>
            <w:r>
              <w:rPr>
                <w:sz w:val="22"/>
              </w:rPr>
              <w:t xml:space="preserve"> well</w:t>
            </w:r>
            <w:r>
              <w:rPr>
                <w:rFonts w:ascii="Cambria Math" w:hAnsi="Cambria Math" w:cs="Cambria Math"/>
                <w:sz w:val="22"/>
              </w:rPr>
              <w:t>‑</w:t>
            </w:r>
            <w:r>
              <w:rPr>
                <w:sz w:val="22"/>
              </w:rPr>
              <w:t xml:space="preserve">being. </w:t>
            </w:r>
          </w:p>
          <w:p>
            <w:pPr>
              <w:pStyle w:val="TableRowCentered"/>
              <w:jc w:val="left"/>
              <w:rPr>
                <w:sz w:val="22"/>
              </w:rPr>
            </w:pPr>
          </w:p>
          <w:p>
            <w:pPr>
              <w:pStyle w:val="TableRowCentered"/>
              <w:ind w:left="0" w:right="0"/>
              <w:jc w:val="left"/>
              <w:rPr>
                <w:sz w:val="22"/>
              </w:rPr>
            </w:pPr>
            <w:r>
              <w:rPr>
                <w:sz w:val="22"/>
              </w:rPr>
              <w:t>The Partnership for Children guidance on Pupil Premium highlights that SEL-focused strategies are especially important for disadvantaged pupils, who often show weaker SEL skills and benefit disproportionately from approaches that support emotional well</w:t>
            </w:r>
            <w:r>
              <w:rPr>
                <w:rFonts w:ascii="Cambria Math" w:hAnsi="Cambria Math" w:cs="Cambria Math"/>
                <w:sz w:val="22"/>
              </w:rPr>
              <w:t>‑</w:t>
            </w:r>
            <w:r>
              <w:rPr>
                <w:sz w:val="22"/>
              </w:rPr>
              <w:t>being.</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Centered"/>
              <w:ind w:left="0" w:right="0"/>
              <w:jc w:val="left"/>
              <w:rPr>
                <w:sz w:val="22"/>
              </w:rPr>
            </w:pPr>
            <w:r>
              <w:rPr>
                <w:sz w:val="22"/>
              </w:rPr>
              <w:lastRenderedPageBreak/>
              <w:t>1,4,7</w:t>
            </w:r>
          </w:p>
        </w:tc>
      </w:tr>
      <w:t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right="0"/>
              <w:rPr>
                <w:rFonts w:eastAsia="Arial" w:cs="Arial"/>
              </w:rPr>
            </w:pPr>
            <w:r>
              <w:rPr>
                <w:rFonts w:eastAsia="Arial" w:cs="Arial"/>
              </w:rPr>
              <w:t>Strong safeguarding and pastoral support Maintain robust safeguarding practices and deliver tailored pastoral support.</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pPr>
              <w:pStyle w:val="TableRowCentered"/>
              <w:ind w:left="0" w:right="0"/>
              <w:jc w:val="left"/>
              <w:rPr>
                <w:sz w:val="22"/>
              </w:rPr>
            </w:pPr>
            <w:r>
              <w:rPr>
                <w:rFonts w:eastAsia="Arial" w:cs="Arial"/>
                <w:szCs w:val="24"/>
              </w:rPr>
              <w:t>Research highlights the importance of emotional security in enabling academic success.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pPr>
              <w:pStyle w:val="TableRowCentered"/>
              <w:ind w:left="0" w:right="0"/>
              <w:jc w:val="left"/>
              <w:rPr>
                <w:sz w:val="22"/>
              </w:rPr>
            </w:pPr>
            <w:r>
              <w:rPr>
                <w:sz w:val="22"/>
              </w:rPr>
              <w:t>1,3,4,5,6,8</w:t>
            </w:r>
          </w:p>
        </w:tc>
      </w:tr>
    </w:tbl>
    <w:p/>
    <w:p>
      <w:pPr>
        <w:spacing w:before="240" w:after="0"/>
        <w:rPr>
          <w:b/>
          <w:bCs/>
          <w:color w:val="104F75"/>
          <w:sz w:val="28"/>
          <w:szCs w:val="28"/>
        </w:rPr>
      </w:pPr>
    </w:p>
    <w:p>
      <w:pPr>
        <w:rPr>
          <w:i/>
          <w:iCs/>
          <w:color w:val="104F75"/>
          <w:sz w:val="28"/>
          <w:szCs w:val="28"/>
        </w:rPr>
      </w:pPr>
      <w:r>
        <w:rPr>
          <w:b/>
          <w:bCs/>
          <w:color w:val="104F75"/>
          <w:sz w:val="28"/>
          <w:szCs w:val="28"/>
        </w:rPr>
        <w:t>Total budgeted cost: £146,000</w:t>
      </w:r>
    </w:p>
    <w:p>
      <w:pPr>
        <w:pStyle w:val="Heading1"/>
      </w:pPr>
      <w:r>
        <w:lastRenderedPageBreak/>
        <w:t xml:space="preserve">Part B: Review of the previous academic year 25.26 </w:t>
      </w:r>
    </w:p>
    <w:p>
      <w:pPr>
        <w:pStyle w:val="Heading2"/>
      </w:pPr>
      <w:r>
        <w:t>Outcomes for disadvantaged pupils</w:t>
      </w:r>
    </w:p>
    <w:p>
      <w:pPr>
        <w:rPr>
          <w:b/>
          <w:bCs/>
        </w:rPr>
      </w:pPr>
      <w:proofErr w:type="spellStart"/>
      <w:r>
        <w:rPr>
          <w:b/>
          <w:bCs/>
        </w:rPr>
        <w:t>Bowerham’s</w:t>
      </w:r>
      <w:proofErr w:type="spellEnd"/>
      <w:r>
        <w:rPr>
          <w:b/>
          <w:bCs/>
        </w:rPr>
        <w:t xml:space="preserve"> Attendance   </w:t>
      </w:r>
    </w:p>
    <w:p>
      <w:r>
        <w:t xml:space="preserve">FSM attendance was 94% compared to 92.2% nationally (Y1 - 6 data – School’s Attendance Summary Report).  </w:t>
      </w:r>
    </w:p>
    <w:p>
      <w:pPr>
        <w:rPr>
          <w:b/>
          <w:bCs/>
        </w:rPr>
      </w:pPr>
      <w:r>
        <w:rPr>
          <w:b/>
          <w:bCs/>
        </w:rPr>
        <w:t xml:space="preserve">KS2 (Y6 SATs)    </w:t>
      </w:r>
    </w:p>
    <w:p>
      <w:r>
        <w:t xml:space="preserve">50% of disadvantaged pupils achieved Expected+ in Reading, Writing and Maths combined compared to 49% nationally (2026).  </w:t>
      </w:r>
    </w:p>
    <w:p>
      <w:r>
        <w:t xml:space="preserve">64% of disadvantaged pupils achieved Expected+ in Reading compared to 63% nationally (2025). </w:t>
      </w:r>
    </w:p>
    <w:p>
      <w:r>
        <w:t xml:space="preserve">64% of disadvantaged pupils achieved Expected+ in Writing compared to 59% nationally (2025).  </w:t>
      </w:r>
    </w:p>
    <w:p>
      <w:r>
        <w:t xml:space="preserve">50% of disadvantaged pupils achieved Expected+ in Maths compared to 61% nationally (2025).   </w:t>
      </w:r>
    </w:p>
    <w:p>
      <w:pPr>
        <w:rPr>
          <w:b/>
          <w:bCs/>
        </w:rPr>
      </w:pPr>
      <w:r>
        <w:rPr>
          <w:b/>
          <w:bCs/>
        </w:rPr>
        <w:t xml:space="preserve">Y4 MTC  </w:t>
      </w:r>
    </w:p>
    <w:p>
      <w:pPr>
        <w:rPr>
          <w:color w:val="auto"/>
        </w:rPr>
      </w:pPr>
      <w:r>
        <w:rPr>
          <w:color w:val="auto"/>
        </w:rPr>
        <w:t xml:space="preserve">The disadvantaged mean scoring full marks was 19.4% compared to 19.4 nationally (2025). </w:t>
      </w:r>
    </w:p>
    <w:p>
      <w:pPr>
        <w:rPr>
          <w:color w:val="auto"/>
        </w:rPr>
      </w:pPr>
      <w:r>
        <w:rPr>
          <w:color w:val="auto"/>
        </w:rPr>
        <w:t xml:space="preserve">38.5% of disadvantaged pupils scored maximum marks compared to 24.9% in Lancashire (2025 – national not available).  </w:t>
      </w:r>
    </w:p>
    <w:p>
      <w:pPr>
        <w:rPr>
          <w:b/>
          <w:bCs/>
        </w:rPr>
      </w:pPr>
      <w:r>
        <w:rPr>
          <w:b/>
          <w:bCs/>
        </w:rPr>
        <w:t xml:space="preserve">Y1 Phonics Screening Check disadvantaged   </w:t>
      </w:r>
    </w:p>
    <w:p>
      <w:r>
        <w:t xml:space="preserve">57% of disadvantaged children met the expected standard compared to 68% nationally (2026). </w:t>
      </w:r>
    </w:p>
    <w:p>
      <w:pPr>
        <w:rPr>
          <w:b/>
          <w:bCs/>
        </w:rPr>
      </w:pPr>
      <w:r>
        <w:rPr>
          <w:b/>
          <w:bCs/>
        </w:rPr>
        <w:t xml:space="preserve">EYFS Good Level of Development (GLD)  </w:t>
      </w:r>
    </w:p>
    <w:p>
      <w:pPr>
        <w:rPr>
          <w:color w:val="auto"/>
        </w:rPr>
      </w:pPr>
      <w:r>
        <w:rPr>
          <w:color w:val="auto"/>
        </w:rPr>
        <w:t xml:space="preserve">89% of disadvantaged children achieved a GLD compared to 52% nationally (2025).  </w:t>
      </w:r>
    </w:p>
    <w:p>
      <w:pPr>
        <w:pStyle w:val="Heading2"/>
      </w:pPr>
      <w:r>
        <w:t>Externally provided programmes</w:t>
      </w:r>
    </w:p>
    <w:p>
      <w:pPr>
        <w:rPr>
          <w:i/>
          <w:iCs/>
        </w:rPr>
      </w:pPr>
      <w:r>
        <w:rPr>
          <w:i/>
          <w:iCs/>
        </w:rPr>
        <w:t xml:space="preserve">Please include the names of any non-DfE programmes that you used your pupil premium to fund 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pPr>
              <w:pStyle w:val="TableHeader"/>
              <w:ind w:left="0" w:right="0"/>
              <w:jc w:val="left"/>
            </w:pPr>
            <w:r>
              <w:t>Programme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pPr>
              <w:pStyle w:val="TableHeader"/>
              <w:ind w:left="0" w:right="0"/>
              <w:jc w:val="left"/>
            </w:pPr>
            <w:r>
              <w:t>Provider</w:t>
            </w:r>
          </w:p>
        </w:tc>
      </w:tr>
      <w:t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pPr>
            <w:r>
              <w:lastRenderedPageBreak/>
              <w:t>N/A</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Centered"/>
              <w:ind w:left="0" w:right="0"/>
              <w:jc w:val="left"/>
            </w:pPr>
          </w:p>
        </w:tc>
      </w:tr>
      <w:t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
              <w:ind w:left="0" w:right="0"/>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pPr>
              <w:pStyle w:val="TableRowCentered"/>
              <w:ind w:left="0" w:right="0"/>
              <w:jc w:val="left"/>
            </w:pPr>
          </w:p>
        </w:tc>
      </w:tr>
    </w:tbl>
    <w:p/>
    <w:p/>
    <w:p/>
    <w:p/>
    <w:bookmarkEnd w:id="14"/>
    <w:bookmarkEnd w:id="15"/>
    <w:bookmarkEnd w:id="16"/>
    <w:p>
      <w:pPr>
        <w:spacing w:after="0" w:line="240" w:lineRule="auto"/>
      </w:pPr>
    </w:p>
    <w:sectPr>
      <w:headerReference w:type="default" r:id="rId8"/>
      <w:footerReference w:type="default" r:id="rId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4ECC9"/>
    <w:multiLevelType w:val="hybridMultilevel"/>
    <w:tmpl w:val="A816C278"/>
    <w:lvl w:ilvl="0" w:tplc="0EE6D4D6">
      <w:start w:val="1"/>
      <w:numFmt w:val="bullet"/>
      <w:lvlText w:val="o"/>
      <w:lvlJc w:val="left"/>
      <w:pPr>
        <w:ind w:left="720" w:hanging="360"/>
      </w:pPr>
      <w:rPr>
        <w:rFonts w:ascii="Courier New" w:hAnsi="Courier New" w:cs="Times New Roman" w:hint="default"/>
      </w:rPr>
    </w:lvl>
    <w:lvl w:ilvl="1" w:tplc="AEA216D2">
      <w:start w:val="1"/>
      <w:numFmt w:val="bullet"/>
      <w:lvlText w:val="o"/>
      <w:lvlJc w:val="left"/>
      <w:pPr>
        <w:ind w:left="1440" w:hanging="360"/>
      </w:pPr>
      <w:rPr>
        <w:rFonts w:ascii="Courier New" w:hAnsi="Courier New" w:cs="Times New Roman" w:hint="default"/>
      </w:rPr>
    </w:lvl>
    <w:lvl w:ilvl="2" w:tplc="DEACFF4C">
      <w:start w:val="1"/>
      <w:numFmt w:val="bullet"/>
      <w:lvlText w:val=""/>
      <w:lvlJc w:val="left"/>
      <w:pPr>
        <w:ind w:left="2160" w:hanging="360"/>
      </w:pPr>
      <w:rPr>
        <w:rFonts w:ascii="Wingdings" w:hAnsi="Wingdings" w:hint="default"/>
      </w:rPr>
    </w:lvl>
    <w:lvl w:ilvl="3" w:tplc="9E3E2C3C">
      <w:start w:val="1"/>
      <w:numFmt w:val="bullet"/>
      <w:lvlText w:val=""/>
      <w:lvlJc w:val="left"/>
      <w:pPr>
        <w:ind w:left="2880" w:hanging="360"/>
      </w:pPr>
      <w:rPr>
        <w:rFonts w:ascii="Symbol" w:hAnsi="Symbol" w:hint="default"/>
      </w:rPr>
    </w:lvl>
    <w:lvl w:ilvl="4" w:tplc="6742E4E8">
      <w:start w:val="1"/>
      <w:numFmt w:val="bullet"/>
      <w:lvlText w:val="o"/>
      <w:lvlJc w:val="left"/>
      <w:pPr>
        <w:ind w:left="3600" w:hanging="360"/>
      </w:pPr>
      <w:rPr>
        <w:rFonts w:ascii="Courier New" w:hAnsi="Courier New" w:cs="Times New Roman" w:hint="default"/>
      </w:rPr>
    </w:lvl>
    <w:lvl w:ilvl="5" w:tplc="28DAA44C">
      <w:start w:val="1"/>
      <w:numFmt w:val="bullet"/>
      <w:lvlText w:val=""/>
      <w:lvlJc w:val="left"/>
      <w:pPr>
        <w:ind w:left="4320" w:hanging="360"/>
      </w:pPr>
      <w:rPr>
        <w:rFonts w:ascii="Wingdings" w:hAnsi="Wingdings" w:hint="default"/>
      </w:rPr>
    </w:lvl>
    <w:lvl w:ilvl="6" w:tplc="84C4D140">
      <w:start w:val="1"/>
      <w:numFmt w:val="bullet"/>
      <w:lvlText w:val=""/>
      <w:lvlJc w:val="left"/>
      <w:pPr>
        <w:ind w:left="5040" w:hanging="360"/>
      </w:pPr>
      <w:rPr>
        <w:rFonts w:ascii="Symbol" w:hAnsi="Symbol" w:hint="default"/>
      </w:rPr>
    </w:lvl>
    <w:lvl w:ilvl="7" w:tplc="FBD48618">
      <w:start w:val="1"/>
      <w:numFmt w:val="bullet"/>
      <w:lvlText w:val="o"/>
      <w:lvlJc w:val="left"/>
      <w:pPr>
        <w:ind w:left="5760" w:hanging="360"/>
      </w:pPr>
      <w:rPr>
        <w:rFonts w:ascii="Courier New" w:hAnsi="Courier New" w:cs="Times New Roman" w:hint="default"/>
      </w:rPr>
    </w:lvl>
    <w:lvl w:ilvl="8" w:tplc="E488E91A">
      <w:start w:val="1"/>
      <w:numFmt w:val="bullet"/>
      <w:lvlText w:val=""/>
      <w:lvlJc w:val="left"/>
      <w:pPr>
        <w:ind w:left="6480" w:hanging="360"/>
      </w:pPr>
      <w:rPr>
        <w:rFonts w:ascii="Wingdings" w:hAnsi="Wingdings" w:hint="default"/>
      </w:rPr>
    </w:lvl>
  </w:abstractNum>
  <w:abstractNum w:abstractNumId="1" w15:restartNumberingAfterBreak="0">
    <w:nsid w:val="10315875"/>
    <w:multiLevelType w:val="multilevel"/>
    <w:tmpl w:val="823A4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1524F"/>
    <w:multiLevelType w:val="multilevel"/>
    <w:tmpl w:val="9F922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7CCB9A4"/>
    <w:multiLevelType w:val="hybridMultilevel"/>
    <w:tmpl w:val="0CE88FBC"/>
    <w:lvl w:ilvl="0" w:tplc="9D94BFE8">
      <w:start w:val="1"/>
      <w:numFmt w:val="bullet"/>
      <w:lvlText w:val="o"/>
      <w:lvlJc w:val="left"/>
      <w:pPr>
        <w:ind w:left="720" w:hanging="360"/>
      </w:pPr>
      <w:rPr>
        <w:rFonts w:ascii="Courier New" w:hAnsi="Courier New" w:cs="Times New Roman" w:hint="default"/>
      </w:rPr>
    </w:lvl>
    <w:lvl w:ilvl="1" w:tplc="ABF0C84A">
      <w:start w:val="1"/>
      <w:numFmt w:val="bullet"/>
      <w:lvlText w:val="o"/>
      <w:lvlJc w:val="left"/>
      <w:pPr>
        <w:ind w:left="1440" w:hanging="360"/>
      </w:pPr>
      <w:rPr>
        <w:rFonts w:ascii="Courier New" w:hAnsi="Courier New" w:cs="Times New Roman" w:hint="default"/>
      </w:rPr>
    </w:lvl>
    <w:lvl w:ilvl="2" w:tplc="637C2262">
      <w:start w:val="1"/>
      <w:numFmt w:val="bullet"/>
      <w:lvlText w:val=""/>
      <w:lvlJc w:val="left"/>
      <w:pPr>
        <w:ind w:left="2160" w:hanging="360"/>
      </w:pPr>
      <w:rPr>
        <w:rFonts w:ascii="Wingdings" w:hAnsi="Wingdings" w:hint="default"/>
      </w:rPr>
    </w:lvl>
    <w:lvl w:ilvl="3" w:tplc="509870DC">
      <w:start w:val="1"/>
      <w:numFmt w:val="bullet"/>
      <w:lvlText w:val=""/>
      <w:lvlJc w:val="left"/>
      <w:pPr>
        <w:ind w:left="2880" w:hanging="360"/>
      </w:pPr>
      <w:rPr>
        <w:rFonts w:ascii="Symbol" w:hAnsi="Symbol" w:hint="default"/>
      </w:rPr>
    </w:lvl>
    <w:lvl w:ilvl="4" w:tplc="193A48DC">
      <w:start w:val="1"/>
      <w:numFmt w:val="bullet"/>
      <w:lvlText w:val="o"/>
      <w:lvlJc w:val="left"/>
      <w:pPr>
        <w:ind w:left="3600" w:hanging="360"/>
      </w:pPr>
      <w:rPr>
        <w:rFonts w:ascii="Courier New" w:hAnsi="Courier New" w:cs="Times New Roman" w:hint="default"/>
      </w:rPr>
    </w:lvl>
    <w:lvl w:ilvl="5" w:tplc="A6348D72">
      <w:start w:val="1"/>
      <w:numFmt w:val="bullet"/>
      <w:lvlText w:val=""/>
      <w:lvlJc w:val="left"/>
      <w:pPr>
        <w:ind w:left="4320" w:hanging="360"/>
      </w:pPr>
      <w:rPr>
        <w:rFonts w:ascii="Wingdings" w:hAnsi="Wingdings" w:hint="default"/>
      </w:rPr>
    </w:lvl>
    <w:lvl w:ilvl="6" w:tplc="C3427502">
      <w:start w:val="1"/>
      <w:numFmt w:val="bullet"/>
      <w:lvlText w:val=""/>
      <w:lvlJc w:val="left"/>
      <w:pPr>
        <w:ind w:left="5040" w:hanging="360"/>
      </w:pPr>
      <w:rPr>
        <w:rFonts w:ascii="Symbol" w:hAnsi="Symbol" w:hint="default"/>
      </w:rPr>
    </w:lvl>
    <w:lvl w:ilvl="7" w:tplc="7144CB7E">
      <w:start w:val="1"/>
      <w:numFmt w:val="bullet"/>
      <w:lvlText w:val="o"/>
      <w:lvlJc w:val="left"/>
      <w:pPr>
        <w:ind w:left="5760" w:hanging="360"/>
      </w:pPr>
      <w:rPr>
        <w:rFonts w:ascii="Courier New" w:hAnsi="Courier New" w:cs="Times New Roman" w:hint="default"/>
      </w:rPr>
    </w:lvl>
    <w:lvl w:ilvl="8" w:tplc="1BC2208A">
      <w:start w:val="1"/>
      <w:numFmt w:val="bullet"/>
      <w:lvlText w:val=""/>
      <w:lvlJc w:val="left"/>
      <w:pPr>
        <w:ind w:left="6480" w:hanging="360"/>
      </w:pPr>
      <w:rPr>
        <w:rFonts w:ascii="Wingdings" w:hAnsi="Wingdings" w:hint="default"/>
      </w:rPr>
    </w:lvl>
  </w:abstractNum>
  <w:abstractNum w:abstractNumId="5"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6" w15:restartNumberingAfterBreak="0">
    <w:nsid w:val="180F307C"/>
    <w:multiLevelType w:val="multilevel"/>
    <w:tmpl w:val="9F922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8"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0"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2" w15:restartNumberingAfterBreak="0">
    <w:nsid w:val="2B244481"/>
    <w:multiLevelType w:val="multilevel"/>
    <w:tmpl w:val="99664A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0160C1"/>
    <w:multiLevelType w:val="hybridMultilevel"/>
    <w:tmpl w:val="D846873E"/>
    <w:lvl w:ilvl="0" w:tplc="DF00AE5C">
      <w:start w:val="1"/>
      <w:numFmt w:val="bullet"/>
      <w:lvlText w:val="o"/>
      <w:lvlJc w:val="left"/>
      <w:pPr>
        <w:ind w:left="720" w:hanging="360"/>
      </w:pPr>
      <w:rPr>
        <w:rFonts w:ascii="Courier New" w:hAnsi="Courier New" w:cs="Times New Roman" w:hint="default"/>
      </w:rPr>
    </w:lvl>
    <w:lvl w:ilvl="1" w:tplc="7ACC644C">
      <w:start w:val="1"/>
      <w:numFmt w:val="bullet"/>
      <w:lvlText w:val="o"/>
      <w:lvlJc w:val="left"/>
      <w:pPr>
        <w:ind w:left="1440" w:hanging="360"/>
      </w:pPr>
      <w:rPr>
        <w:rFonts w:ascii="Courier New" w:hAnsi="Courier New" w:cs="Times New Roman" w:hint="default"/>
      </w:rPr>
    </w:lvl>
    <w:lvl w:ilvl="2" w:tplc="3DF06ECC">
      <w:start w:val="1"/>
      <w:numFmt w:val="bullet"/>
      <w:lvlText w:val=""/>
      <w:lvlJc w:val="left"/>
      <w:pPr>
        <w:ind w:left="2160" w:hanging="360"/>
      </w:pPr>
      <w:rPr>
        <w:rFonts w:ascii="Wingdings" w:hAnsi="Wingdings" w:hint="default"/>
      </w:rPr>
    </w:lvl>
    <w:lvl w:ilvl="3" w:tplc="0FF695EC">
      <w:start w:val="1"/>
      <w:numFmt w:val="bullet"/>
      <w:lvlText w:val=""/>
      <w:lvlJc w:val="left"/>
      <w:pPr>
        <w:ind w:left="2880" w:hanging="360"/>
      </w:pPr>
      <w:rPr>
        <w:rFonts w:ascii="Symbol" w:hAnsi="Symbol" w:hint="default"/>
      </w:rPr>
    </w:lvl>
    <w:lvl w:ilvl="4" w:tplc="2416CD0E">
      <w:start w:val="1"/>
      <w:numFmt w:val="bullet"/>
      <w:lvlText w:val="o"/>
      <w:lvlJc w:val="left"/>
      <w:pPr>
        <w:ind w:left="3600" w:hanging="360"/>
      </w:pPr>
      <w:rPr>
        <w:rFonts w:ascii="Courier New" w:hAnsi="Courier New" w:cs="Times New Roman" w:hint="default"/>
      </w:rPr>
    </w:lvl>
    <w:lvl w:ilvl="5" w:tplc="114E5D8A">
      <w:start w:val="1"/>
      <w:numFmt w:val="bullet"/>
      <w:lvlText w:val=""/>
      <w:lvlJc w:val="left"/>
      <w:pPr>
        <w:ind w:left="4320" w:hanging="360"/>
      </w:pPr>
      <w:rPr>
        <w:rFonts w:ascii="Wingdings" w:hAnsi="Wingdings" w:hint="default"/>
      </w:rPr>
    </w:lvl>
    <w:lvl w:ilvl="6" w:tplc="EEE09932">
      <w:start w:val="1"/>
      <w:numFmt w:val="bullet"/>
      <w:lvlText w:val=""/>
      <w:lvlJc w:val="left"/>
      <w:pPr>
        <w:ind w:left="5040" w:hanging="360"/>
      </w:pPr>
      <w:rPr>
        <w:rFonts w:ascii="Symbol" w:hAnsi="Symbol" w:hint="default"/>
      </w:rPr>
    </w:lvl>
    <w:lvl w:ilvl="7" w:tplc="94FA9EEC">
      <w:start w:val="1"/>
      <w:numFmt w:val="bullet"/>
      <w:lvlText w:val="o"/>
      <w:lvlJc w:val="left"/>
      <w:pPr>
        <w:ind w:left="5760" w:hanging="360"/>
      </w:pPr>
      <w:rPr>
        <w:rFonts w:ascii="Courier New" w:hAnsi="Courier New" w:cs="Times New Roman" w:hint="default"/>
      </w:rPr>
    </w:lvl>
    <w:lvl w:ilvl="8" w:tplc="43489E3C">
      <w:start w:val="1"/>
      <w:numFmt w:val="bullet"/>
      <w:lvlText w:val=""/>
      <w:lvlJc w:val="left"/>
      <w:pPr>
        <w:ind w:left="6480" w:hanging="360"/>
      </w:pPr>
      <w:rPr>
        <w:rFonts w:ascii="Wingdings" w:hAnsi="Wingdings" w:hint="default"/>
      </w:rPr>
    </w:lvl>
  </w:abstractNum>
  <w:abstractNum w:abstractNumId="17"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2429D7"/>
    <w:multiLevelType w:val="multilevel"/>
    <w:tmpl w:val="B47443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7036EE"/>
    <w:multiLevelType w:val="multilevel"/>
    <w:tmpl w:val="0E7C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7D6F38"/>
    <w:multiLevelType w:val="multilevel"/>
    <w:tmpl w:val="9F922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A06D94"/>
    <w:multiLevelType w:val="hybridMultilevel"/>
    <w:tmpl w:val="A822AC08"/>
    <w:lvl w:ilvl="0" w:tplc="593A7B22">
      <w:start w:val="1"/>
      <w:numFmt w:val="bullet"/>
      <w:lvlText w:val="o"/>
      <w:lvlJc w:val="left"/>
      <w:pPr>
        <w:ind w:left="720" w:hanging="360"/>
      </w:pPr>
      <w:rPr>
        <w:rFonts w:ascii="Courier New" w:hAnsi="Courier New" w:cs="Times New Roman" w:hint="default"/>
      </w:rPr>
    </w:lvl>
    <w:lvl w:ilvl="1" w:tplc="3A1226FA">
      <w:start w:val="1"/>
      <w:numFmt w:val="bullet"/>
      <w:lvlText w:val="o"/>
      <w:lvlJc w:val="left"/>
      <w:pPr>
        <w:ind w:left="1440" w:hanging="360"/>
      </w:pPr>
      <w:rPr>
        <w:rFonts w:ascii="Courier New" w:hAnsi="Courier New" w:cs="Times New Roman" w:hint="default"/>
      </w:rPr>
    </w:lvl>
    <w:lvl w:ilvl="2" w:tplc="BD7E0B0C">
      <w:start w:val="1"/>
      <w:numFmt w:val="bullet"/>
      <w:lvlText w:val=""/>
      <w:lvlJc w:val="left"/>
      <w:pPr>
        <w:ind w:left="2160" w:hanging="360"/>
      </w:pPr>
      <w:rPr>
        <w:rFonts w:ascii="Wingdings" w:hAnsi="Wingdings" w:hint="default"/>
      </w:rPr>
    </w:lvl>
    <w:lvl w:ilvl="3" w:tplc="3A18FCC4">
      <w:start w:val="1"/>
      <w:numFmt w:val="bullet"/>
      <w:lvlText w:val=""/>
      <w:lvlJc w:val="left"/>
      <w:pPr>
        <w:ind w:left="2880" w:hanging="360"/>
      </w:pPr>
      <w:rPr>
        <w:rFonts w:ascii="Symbol" w:hAnsi="Symbol" w:hint="default"/>
      </w:rPr>
    </w:lvl>
    <w:lvl w:ilvl="4" w:tplc="6D90CDD2">
      <w:start w:val="1"/>
      <w:numFmt w:val="bullet"/>
      <w:lvlText w:val="o"/>
      <w:lvlJc w:val="left"/>
      <w:pPr>
        <w:ind w:left="3600" w:hanging="360"/>
      </w:pPr>
      <w:rPr>
        <w:rFonts w:ascii="Courier New" w:hAnsi="Courier New" w:cs="Times New Roman" w:hint="default"/>
      </w:rPr>
    </w:lvl>
    <w:lvl w:ilvl="5" w:tplc="89842A90">
      <w:start w:val="1"/>
      <w:numFmt w:val="bullet"/>
      <w:lvlText w:val=""/>
      <w:lvlJc w:val="left"/>
      <w:pPr>
        <w:ind w:left="4320" w:hanging="360"/>
      </w:pPr>
      <w:rPr>
        <w:rFonts w:ascii="Wingdings" w:hAnsi="Wingdings" w:hint="default"/>
      </w:rPr>
    </w:lvl>
    <w:lvl w:ilvl="6" w:tplc="2BBAFD46">
      <w:start w:val="1"/>
      <w:numFmt w:val="bullet"/>
      <w:lvlText w:val=""/>
      <w:lvlJc w:val="left"/>
      <w:pPr>
        <w:ind w:left="5040" w:hanging="360"/>
      </w:pPr>
      <w:rPr>
        <w:rFonts w:ascii="Symbol" w:hAnsi="Symbol" w:hint="default"/>
      </w:rPr>
    </w:lvl>
    <w:lvl w:ilvl="7" w:tplc="149E6008">
      <w:start w:val="1"/>
      <w:numFmt w:val="bullet"/>
      <w:lvlText w:val="o"/>
      <w:lvlJc w:val="left"/>
      <w:pPr>
        <w:ind w:left="5760" w:hanging="360"/>
      </w:pPr>
      <w:rPr>
        <w:rFonts w:ascii="Courier New" w:hAnsi="Courier New" w:cs="Times New Roman" w:hint="default"/>
      </w:rPr>
    </w:lvl>
    <w:lvl w:ilvl="8" w:tplc="A48058B0">
      <w:start w:val="1"/>
      <w:numFmt w:val="bullet"/>
      <w:lvlText w:val=""/>
      <w:lvlJc w:val="left"/>
      <w:pPr>
        <w:ind w:left="6480" w:hanging="360"/>
      </w:pPr>
      <w:rPr>
        <w:rFonts w:ascii="Wingdings" w:hAnsi="Wingdings" w:hint="default"/>
      </w:rPr>
    </w:lvl>
  </w:abstractNum>
  <w:abstractNum w:abstractNumId="22" w15:restartNumberingAfterBreak="0">
    <w:nsid w:val="5EF65B9F"/>
    <w:multiLevelType w:val="multilevel"/>
    <w:tmpl w:val="9F922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6"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7"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8" w15:restartNumberingAfterBreak="0">
    <w:nsid w:val="720C1A31"/>
    <w:multiLevelType w:val="hybridMultilevel"/>
    <w:tmpl w:val="7B3AC0B8"/>
    <w:lvl w:ilvl="0" w:tplc="D8D85324">
      <w:start w:val="1"/>
      <w:numFmt w:val="bullet"/>
      <w:lvlText w:val="o"/>
      <w:lvlJc w:val="left"/>
      <w:pPr>
        <w:ind w:left="720" w:hanging="360"/>
      </w:pPr>
      <w:rPr>
        <w:rFonts w:ascii="Courier New" w:hAnsi="Courier New" w:cs="Times New Roman" w:hint="default"/>
      </w:rPr>
    </w:lvl>
    <w:lvl w:ilvl="1" w:tplc="23B2F060">
      <w:start w:val="1"/>
      <w:numFmt w:val="bullet"/>
      <w:lvlText w:val="o"/>
      <w:lvlJc w:val="left"/>
      <w:pPr>
        <w:ind w:left="1440" w:hanging="360"/>
      </w:pPr>
      <w:rPr>
        <w:rFonts w:ascii="Courier New" w:hAnsi="Courier New" w:cs="Times New Roman" w:hint="default"/>
      </w:rPr>
    </w:lvl>
    <w:lvl w:ilvl="2" w:tplc="2C02D534">
      <w:start w:val="1"/>
      <w:numFmt w:val="bullet"/>
      <w:lvlText w:val=""/>
      <w:lvlJc w:val="left"/>
      <w:pPr>
        <w:ind w:left="2160" w:hanging="360"/>
      </w:pPr>
      <w:rPr>
        <w:rFonts w:ascii="Wingdings" w:hAnsi="Wingdings" w:hint="default"/>
      </w:rPr>
    </w:lvl>
    <w:lvl w:ilvl="3" w:tplc="BE4E6D78">
      <w:start w:val="1"/>
      <w:numFmt w:val="bullet"/>
      <w:lvlText w:val=""/>
      <w:lvlJc w:val="left"/>
      <w:pPr>
        <w:ind w:left="2880" w:hanging="360"/>
      </w:pPr>
      <w:rPr>
        <w:rFonts w:ascii="Symbol" w:hAnsi="Symbol" w:hint="default"/>
      </w:rPr>
    </w:lvl>
    <w:lvl w:ilvl="4" w:tplc="0248D316">
      <w:start w:val="1"/>
      <w:numFmt w:val="bullet"/>
      <w:lvlText w:val="o"/>
      <w:lvlJc w:val="left"/>
      <w:pPr>
        <w:ind w:left="3600" w:hanging="360"/>
      </w:pPr>
      <w:rPr>
        <w:rFonts w:ascii="Courier New" w:hAnsi="Courier New" w:cs="Times New Roman" w:hint="default"/>
      </w:rPr>
    </w:lvl>
    <w:lvl w:ilvl="5" w:tplc="AD3E8D8E">
      <w:start w:val="1"/>
      <w:numFmt w:val="bullet"/>
      <w:lvlText w:val=""/>
      <w:lvlJc w:val="left"/>
      <w:pPr>
        <w:ind w:left="4320" w:hanging="360"/>
      </w:pPr>
      <w:rPr>
        <w:rFonts w:ascii="Wingdings" w:hAnsi="Wingdings" w:hint="default"/>
      </w:rPr>
    </w:lvl>
    <w:lvl w:ilvl="6" w:tplc="0F301862">
      <w:start w:val="1"/>
      <w:numFmt w:val="bullet"/>
      <w:lvlText w:val=""/>
      <w:lvlJc w:val="left"/>
      <w:pPr>
        <w:ind w:left="5040" w:hanging="360"/>
      </w:pPr>
      <w:rPr>
        <w:rFonts w:ascii="Symbol" w:hAnsi="Symbol" w:hint="default"/>
      </w:rPr>
    </w:lvl>
    <w:lvl w:ilvl="7" w:tplc="A8F41BE8">
      <w:start w:val="1"/>
      <w:numFmt w:val="bullet"/>
      <w:lvlText w:val="o"/>
      <w:lvlJc w:val="left"/>
      <w:pPr>
        <w:ind w:left="5760" w:hanging="360"/>
      </w:pPr>
      <w:rPr>
        <w:rFonts w:ascii="Courier New" w:hAnsi="Courier New" w:cs="Times New Roman" w:hint="default"/>
      </w:rPr>
    </w:lvl>
    <w:lvl w:ilvl="8" w:tplc="D83E452C">
      <w:start w:val="1"/>
      <w:numFmt w:val="bullet"/>
      <w:lvlText w:val=""/>
      <w:lvlJc w:val="left"/>
      <w:pPr>
        <w:ind w:left="6480" w:hanging="360"/>
      </w:pPr>
      <w:rPr>
        <w:rFonts w:ascii="Wingdings" w:hAnsi="Wingdings" w:hint="default"/>
      </w:rPr>
    </w:lvl>
  </w:abstractNum>
  <w:abstractNum w:abstractNumId="29" w15:restartNumberingAfterBreak="0">
    <w:nsid w:val="748A2B12"/>
    <w:multiLevelType w:val="multilevel"/>
    <w:tmpl w:val="34E6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76143FEC"/>
    <w:multiLevelType w:val="multilevel"/>
    <w:tmpl w:val="F8741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3F6B9C"/>
    <w:multiLevelType w:val="hybridMultilevel"/>
    <w:tmpl w:val="109ECF4E"/>
    <w:lvl w:ilvl="0" w:tplc="9E6C0902">
      <w:start w:val="1"/>
      <w:numFmt w:val="bullet"/>
      <w:lvlText w:val="o"/>
      <w:lvlJc w:val="left"/>
      <w:pPr>
        <w:ind w:left="720" w:hanging="360"/>
      </w:pPr>
      <w:rPr>
        <w:rFonts w:ascii="Courier New" w:hAnsi="Courier New" w:cs="Times New Roman" w:hint="default"/>
      </w:rPr>
    </w:lvl>
    <w:lvl w:ilvl="1" w:tplc="11567C36">
      <w:start w:val="1"/>
      <w:numFmt w:val="bullet"/>
      <w:lvlText w:val="o"/>
      <w:lvlJc w:val="left"/>
      <w:pPr>
        <w:ind w:left="1440" w:hanging="360"/>
      </w:pPr>
      <w:rPr>
        <w:rFonts w:ascii="Courier New" w:hAnsi="Courier New" w:cs="Times New Roman" w:hint="default"/>
      </w:rPr>
    </w:lvl>
    <w:lvl w:ilvl="2" w:tplc="9DB22CAA">
      <w:start w:val="1"/>
      <w:numFmt w:val="bullet"/>
      <w:lvlText w:val=""/>
      <w:lvlJc w:val="left"/>
      <w:pPr>
        <w:ind w:left="2160" w:hanging="360"/>
      </w:pPr>
      <w:rPr>
        <w:rFonts w:ascii="Wingdings" w:hAnsi="Wingdings" w:hint="default"/>
      </w:rPr>
    </w:lvl>
    <w:lvl w:ilvl="3" w:tplc="C9FA18E4">
      <w:start w:val="1"/>
      <w:numFmt w:val="bullet"/>
      <w:lvlText w:val=""/>
      <w:lvlJc w:val="left"/>
      <w:pPr>
        <w:ind w:left="2880" w:hanging="360"/>
      </w:pPr>
      <w:rPr>
        <w:rFonts w:ascii="Symbol" w:hAnsi="Symbol" w:hint="default"/>
      </w:rPr>
    </w:lvl>
    <w:lvl w:ilvl="4" w:tplc="3C2E42FE">
      <w:start w:val="1"/>
      <w:numFmt w:val="bullet"/>
      <w:lvlText w:val="o"/>
      <w:lvlJc w:val="left"/>
      <w:pPr>
        <w:ind w:left="3600" w:hanging="360"/>
      </w:pPr>
      <w:rPr>
        <w:rFonts w:ascii="Courier New" w:hAnsi="Courier New" w:cs="Times New Roman" w:hint="default"/>
      </w:rPr>
    </w:lvl>
    <w:lvl w:ilvl="5" w:tplc="64B0127C">
      <w:start w:val="1"/>
      <w:numFmt w:val="bullet"/>
      <w:lvlText w:val=""/>
      <w:lvlJc w:val="left"/>
      <w:pPr>
        <w:ind w:left="4320" w:hanging="360"/>
      </w:pPr>
      <w:rPr>
        <w:rFonts w:ascii="Wingdings" w:hAnsi="Wingdings" w:hint="default"/>
      </w:rPr>
    </w:lvl>
    <w:lvl w:ilvl="6" w:tplc="87241A0E">
      <w:start w:val="1"/>
      <w:numFmt w:val="bullet"/>
      <w:lvlText w:val=""/>
      <w:lvlJc w:val="left"/>
      <w:pPr>
        <w:ind w:left="5040" w:hanging="360"/>
      </w:pPr>
      <w:rPr>
        <w:rFonts w:ascii="Symbol" w:hAnsi="Symbol" w:hint="default"/>
      </w:rPr>
    </w:lvl>
    <w:lvl w:ilvl="7" w:tplc="E68E5CFA">
      <w:start w:val="1"/>
      <w:numFmt w:val="bullet"/>
      <w:lvlText w:val="o"/>
      <w:lvlJc w:val="left"/>
      <w:pPr>
        <w:ind w:left="5760" w:hanging="360"/>
      </w:pPr>
      <w:rPr>
        <w:rFonts w:ascii="Courier New" w:hAnsi="Courier New" w:cs="Times New Roman" w:hint="default"/>
      </w:rPr>
    </w:lvl>
    <w:lvl w:ilvl="8" w:tplc="76CA8164">
      <w:start w:val="1"/>
      <w:numFmt w:val="bullet"/>
      <w:lvlText w:val=""/>
      <w:lvlJc w:val="left"/>
      <w:pPr>
        <w:ind w:left="6480" w:hanging="360"/>
      </w:pPr>
      <w:rPr>
        <w:rFonts w:ascii="Wingdings" w:hAnsi="Wingdings" w:hint="default"/>
      </w:rPr>
    </w:lvl>
  </w:abstractNum>
  <w:abstractNum w:abstractNumId="33" w15:restartNumberingAfterBreak="0">
    <w:nsid w:val="794B759D"/>
    <w:multiLevelType w:val="multilevel"/>
    <w:tmpl w:val="B7C23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4610AE"/>
    <w:multiLevelType w:val="multilevel"/>
    <w:tmpl w:val="9F922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785564"/>
    <w:multiLevelType w:val="multilevel"/>
    <w:tmpl w:val="5A446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11"/>
  </w:num>
  <w:num w:numId="4">
    <w:abstractNumId w:val="13"/>
  </w:num>
  <w:num w:numId="5">
    <w:abstractNumId w:val="3"/>
  </w:num>
  <w:num w:numId="6">
    <w:abstractNumId w:val="14"/>
  </w:num>
  <w:num w:numId="7">
    <w:abstractNumId w:val="24"/>
  </w:num>
  <w:num w:numId="8">
    <w:abstractNumId w:val="30"/>
  </w:num>
  <w:num w:numId="9">
    <w:abstractNumId w:val="26"/>
  </w:num>
  <w:num w:numId="10">
    <w:abstractNumId w:val="25"/>
  </w:num>
  <w:num w:numId="11">
    <w:abstractNumId w:val="9"/>
  </w:num>
  <w:num w:numId="12">
    <w:abstractNumId w:val="27"/>
  </w:num>
  <w:num w:numId="13">
    <w:abstractNumId w:val="23"/>
  </w:num>
  <w:num w:numId="14">
    <w:abstractNumId w:val="15"/>
  </w:num>
  <w:num w:numId="15">
    <w:abstractNumId w:val="7"/>
  </w:num>
  <w:num w:numId="16">
    <w:abstractNumId w:val="5"/>
  </w:num>
  <w:num w:numId="17">
    <w:abstractNumId w:val="17"/>
  </w:num>
  <w:num w:numId="18">
    <w:abstractNumId w:val="29"/>
  </w:num>
  <w:num w:numId="19">
    <w:abstractNumId w:val="19"/>
  </w:num>
  <w:num w:numId="20">
    <w:abstractNumId w:val="31"/>
  </w:num>
  <w:num w:numId="21">
    <w:abstractNumId w:val="1"/>
  </w:num>
  <w:num w:numId="22">
    <w:abstractNumId w:val="6"/>
  </w:num>
  <w:num w:numId="23">
    <w:abstractNumId w:val="2"/>
  </w:num>
  <w:num w:numId="24">
    <w:abstractNumId w:val="34"/>
  </w:num>
  <w:num w:numId="25">
    <w:abstractNumId w:val="20"/>
  </w:num>
  <w:num w:numId="26">
    <w:abstractNumId w:val="22"/>
  </w:num>
  <w:num w:numId="27">
    <w:abstractNumId w:val="35"/>
  </w:num>
  <w:num w:numId="28">
    <w:abstractNumId w:val="18"/>
  </w:num>
  <w:num w:numId="29">
    <w:abstractNumId w:val="33"/>
  </w:num>
  <w:num w:numId="30">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4"/>
  </w:num>
  <w:num w:numId="33">
    <w:abstractNumId w:val="32"/>
  </w:num>
  <w:num w:numId="34">
    <w:abstractNumId w:val="21"/>
  </w:num>
  <w:num w:numId="35">
    <w:abstractNumId w:val="28"/>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pPr>
      <w:autoSpaceDN/>
    </w:pPr>
    <w:rPr>
      <w:color w:val="0D0D0D"/>
      <w:sz w:val="24"/>
      <w:szCs w:val="24"/>
    </w:rPr>
  </w:style>
  <w:style w:type="character" w:styleId="Mention">
    <w:name w:val="Mention"/>
    <w:basedOn w:val="DefaultParagraphFont"/>
    <w:uiPriority w:val="99"/>
    <w:unhideWhenUsed/>
    <w:rPr>
      <w:color w:val="2B579A"/>
      <w:shd w:val="clear" w:color="auto" w:fill="E1DFDD"/>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Pr>
      <w:color w:val="0D0D0D"/>
      <w:sz w:val="24"/>
      <w:szCs w:val="24"/>
    </w:rPr>
  </w:style>
  <w:style w:type="character" w:customStyle="1" w:styleId="ui-provider">
    <w:name w:val="ui-provider"/>
    <w:basedOn w:val="DefaultParagraphFont"/>
  </w:style>
  <w:style w:type="paragraph" w:customStyle="1" w:styleId="paragraph">
    <w:name w:val="paragraph"/>
    <w:basedOn w:val="Normal"/>
    <w:pPr>
      <w:suppressAutoHyphens w:val="0"/>
      <w:autoSpaceDN/>
      <w:spacing w:before="100" w:beforeAutospacing="1" w:after="100" w:afterAutospacing="1" w:line="240" w:lineRule="auto"/>
    </w:pPr>
    <w:rPr>
      <w:rFonts w:ascii="Times New Roman" w:hAnsi="Times New Roman"/>
      <w:color w:val="auto"/>
    </w:rPr>
  </w:style>
  <w:style w:type="character" w:customStyle="1" w:styleId="normaltextrun">
    <w:name w:val="normaltextrun"/>
    <w:basedOn w:val="DefaultParagraphFont"/>
  </w:style>
  <w:style w:type="character" w:customStyle="1" w:styleId="eop">
    <w:name w:val="eop"/>
    <w:basedOn w:val="DefaultParagraphFont"/>
  </w:style>
  <w:style w:type="paragraph" w:styleId="NormalWeb">
    <w:name w:val="Normal (Web)"/>
    <w:basedOn w:val="Normal"/>
    <w:uiPriority w:val="99"/>
    <w:semiHidden/>
    <w:unhideWhenUsed/>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740447637">
      <w:bodyDiv w:val="1"/>
      <w:marLeft w:val="0"/>
      <w:marRight w:val="0"/>
      <w:marTop w:val="0"/>
      <w:marBottom w:val="0"/>
      <w:divBdr>
        <w:top w:val="none" w:sz="0" w:space="0" w:color="auto"/>
        <w:left w:val="none" w:sz="0" w:space="0" w:color="auto"/>
        <w:bottom w:val="none" w:sz="0" w:space="0" w:color="auto"/>
        <w:right w:val="none" w:sz="0" w:space="0" w:color="auto"/>
      </w:divBdr>
      <w:divsChild>
        <w:div w:id="831682726">
          <w:marLeft w:val="0"/>
          <w:marRight w:val="0"/>
          <w:marTop w:val="0"/>
          <w:marBottom w:val="0"/>
          <w:divBdr>
            <w:top w:val="none" w:sz="0" w:space="0" w:color="auto"/>
            <w:left w:val="none" w:sz="0" w:space="0" w:color="auto"/>
            <w:bottom w:val="none" w:sz="0" w:space="0" w:color="auto"/>
            <w:right w:val="none" w:sz="0" w:space="0" w:color="auto"/>
          </w:divBdr>
          <w:divsChild>
            <w:div w:id="898368667">
              <w:marLeft w:val="0"/>
              <w:marRight w:val="0"/>
              <w:marTop w:val="0"/>
              <w:marBottom w:val="0"/>
              <w:divBdr>
                <w:top w:val="none" w:sz="0" w:space="0" w:color="auto"/>
                <w:left w:val="none" w:sz="0" w:space="0" w:color="auto"/>
                <w:bottom w:val="none" w:sz="0" w:space="0" w:color="auto"/>
                <w:right w:val="none" w:sz="0" w:space="0" w:color="auto"/>
              </w:divBdr>
            </w:div>
          </w:divsChild>
        </w:div>
        <w:div w:id="634871032">
          <w:marLeft w:val="0"/>
          <w:marRight w:val="0"/>
          <w:marTop w:val="0"/>
          <w:marBottom w:val="0"/>
          <w:divBdr>
            <w:top w:val="none" w:sz="0" w:space="0" w:color="auto"/>
            <w:left w:val="none" w:sz="0" w:space="0" w:color="auto"/>
            <w:bottom w:val="none" w:sz="0" w:space="0" w:color="auto"/>
            <w:right w:val="none" w:sz="0" w:space="0" w:color="auto"/>
          </w:divBdr>
          <w:divsChild>
            <w:div w:id="749229710">
              <w:marLeft w:val="0"/>
              <w:marRight w:val="0"/>
              <w:marTop w:val="0"/>
              <w:marBottom w:val="0"/>
              <w:divBdr>
                <w:top w:val="none" w:sz="0" w:space="0" w:color="auto"/>
                <w:left w:val="none" w:sz="0" w:space="0" w:color="auto"/>
                <w:bottom w:val="none" w:sz="0" w:space="0" w:color="auto"/>
                <w:right w:val="none" w:sz="0" w:space="0" w:color="auto"/>
              </w:divBdr>
            </w:div>
          </w:divsChild>
        </w:div>
        <w:div w:id="186873200">
          <w:marLeft w:val="0"/>
          <w:marRight w:val="0"/>
          <w:marTop w:val="0"/>
          <w:marBottom w:val="0"/>
          <w:divBdr>
            <w:top w:val="none" w:sz="0" w:space="0" w:color="auto"/>
            <w:left w:val="none" w:sz="0" w:space="0" w:color="auto"/>
            <w:bottom w:val="none" w:sz="0" w:space="0" w:color="auto"/>
            <w:right w:val="none" w:sz="0" w:space="0" w:color="auto"/>
          </w:divBdr>
          <w:divsChild>
            <w:div w:id="1207838893">
              <w:marLeft w:val="0"/>
              <w:marRight w:val="0"/>
              <w:marTop w:val="0"/>
              <w:marBottom w:val="0"/>
              <w:divBdr>
                <w:top w:val="none" w:sz="0" w:space="0" w:color="auto"/>
                <w:left w:val="none" w:sz="0" w:space="0" w:color="auto"/>
                <w:bottom w:val="none" w:sz="0" w:space="0" w:color="auto"/>
                <w:right w:val="none" w:sz="0" w:space="0" w:color="auto"/>
              </w:divBdr>
            </w:div>
          </w:divsChild>
        </w:div>
        <w:div w:id="1428842759">
          <w:marLeft w:val="0"/>
          <w:marRight w:val="0"/>
          <w:marTop w:val="0"/>
          <w:marBottom w:val="0"/>
          <w:divBdr>
            <w:top w:val="none" w:sz="0" w:space="0" w:color="auto"/>
            <w:left w:val="none" w:sz="0" w:space="0" w:color="auto"/>
            <w:bottom w:val="none" w:sz="0" w:space="0" w:color="auto"/>
            <w:right w:val="none" w:sz="0" w:space="0" w:color="auto"/>
          </w:divBdr>
          <w:divsChild>
            <w:div w:id="1648977289">
              <w:marLeft w:val="0"/>
              <w:marRight w:val="0"/>
              <w:marTop w:val="0"/>
              <w:marBottom w:val="0"/>
              <w:divBdr>
                <w:top w:val="none" w:sz="0" w:space="0" w:color="auto"/>
                <w:left w:val="none" w:sz="0" w:space="0" w:color="auto"/>
                <w:bottom w:val="none" w:sz="0" w:space="0" w:color="auto"/>
                <w:right w:val="none" w:sz="0" w:space="0" w:color="auto"/>
              </w:divBdr>
            </w:div>
          </w:divsChild>
        </w:div>
        <w:div w:id="335158402">
          <w:marLeft w:val="0"/>
          <w:marRight w:val="0"/>
          <w:marTop w:val="0"/>
          <w:marBottom w:val="0"/>
          <w:divBdr>
            <w:top w:val="none" w:sz="0" w:space="0" w:color="auto"/>
            <w:left w:val="none" w:sz="0" w:space="0" w:color="auto"/>
            <w:bottom w:val="none" w:sz="0" w:space="0" w:color="auto"/>
            <w:right w:val="none" w:sz="0" w:space="0" w:color="auto"/>
          </w:divBdr>
          <w:divsChild>
            <w:div w:id="1592856164">
              <w:marLeft w:val="0"/>
              <w:marRight w:val="0"/>
              <w:marTop w:val="0"/>
              <w:marBottom w:val="0"/>
              <w:divBdr>
                <w:top w:val="none" w:sz="0" w:space="0" w:color="auto"/>
                <w:left w:val="none" w:sz="0" w:space="0" w:color="auto"/>
                <w:bottom w:val="none" w:sz="0" w:space="0" w:color="auto"/>
                <w:right w:val="none" w:sz="0" w:space="0" w:color="auto"/>
              </w:divBdr>
            </w:div>
          </w:divsChild>
        </w:div>
        <w:div w:id="512500387">
          <w:marLeft w:val="0"/>
          <w:marRight w:val="0"/>
          <w:marTop w:val="0"/>
          <w:marBottom w:val="0"/>
          <w:divBdr>
            <w:top w:val="none" w:sz="0" w:space="0" w:color="auto"/>
            <w:left w:val="none" w:sz="0" w:space="0" w:color="auto"/>
            <w:bottom w:val="none" w:sz="0" w:space="0" w:color="auto"/>
            <w:right w:val="none" w:sz="0" w:space="0" w:color="auto"/>
          </w:divBdr>
          <w:divsChild>
            <w:div w:id="971708922">
              <w:marLeft w:val="0"/>
              <w:marRight w:val="0"/>
              <w:marTop w:val="0"/>
              <w:marBottom w:val="0"/>
              <w:divBdr>
                <w:top w:val="none" w:sz="0" w:space="0" w:color="auto"/>
                <w:left w:val="none" w:sz="0" w:space="0" w:color="auto"/>
                <w:bottom w:val="none" w:sz="0" w:space="0" w:color="auto"/>
                <w:right w:val="none" w:sz="0" w:space="0" w:color="auto"/>
              </w:divBdr>
            </w:div>
          </w:divsChild>
        </w:div>
        <w:div w:id="1511145222">
          <w:marLeft w:val="0"/>
          <w:marRight w:val="0"/>
          <w:marTop w:val="0"/>
          <w:marBottom w:val="0"/>
          <w:divBdr>
            <w:top w:val="none" w:sz="0" w:space="0" w:color="auto"/>
            <w:left w:val="none" w:sz="0" w:space="0" w:color="auto"/>
            <w:bottom w:val="none" w:sz="0" w:space="0" w:color="auto"/>
            <w:right w:val="none" w:sz="0" w:space="0" w:color="auto"/>
          </w:divBdr>
          <w:divsChild>
            <w:div w:id="1707484552">
              <w:marLeft w:val="0"/>
              <w:marRight w:val="0"/>
              <w:marTop w:val="0"/>
              <w:marBottom w:val="0"/>
              <w:divBdr>
                <w:top w:val="none" w:sz="0" w:space="0" w:color="auto"/>
                <w:left w:val="none" w:sz="0" w:space="0" w:color="auto"/>
                <w:bottom w:val="none" w:sz="0" w:space="0" w:color="auto"/>
                <w:right w:val="none" w:sz="0" w:space="0" w:color="auto"/>
              </w:divBdr>
            </w:div>
          </w:divsChild>
        </w:div>
        <w:div w:id="653218357">
          <w:marLeft w:val="0"/>
          <w:marRight w:val="0"/>
          <w:marTop w:val="0"/>
          <w:marBottom w:val="0"/>
          <w:divBdr>
            <w:top w:val="none" w:sz="0" w:space="0" w:color="auto"/>
            <w:left w:val="none" w:sz="0" w:space="0" w:color="auto"/>
            <w:bottom w:val="none" w:sz="0" w:space="0" w:color="auto"/>
            <w:right w:val="none" w:sz="0" w:space="0" w:color="auto"/>
          </w:divBdr>
          <w:divsChild>
            <w:div w:id="1358964316">
              <w:marLeft w:val="0"/>
              <w:marRight w:val="0"/>
              <w:marTop w:val="0"/>
              <w:marBottom w:val="0"/>
              <w:divBdr>
                <w:top w:val="none" w:sz="0" w:space="0" w:color="auto"/>
                <w:left w:val="none" w:sz="0" w:space="0" w:color="auto"/>
                <w:bottom w:val="none" w:sz="0" w:space="0" w:color="auto"/>
                <w:right w:val="none" w:sz="0" w:space="0" w:color="auto"/>
              </w:divBdr>
            </w:div>
          </w:divsChild>
        </w:div>
        <w:div w:id="300382356">
          <w:marLeft w:val="0"/>
          <w:marRight w:val="0"/>
          <w:marTop w:val="0"/>
          <w:marBottom w:val="0"/>
          <w:divBdr>
            <w:top w:val="none" w:sz="0" w:space="0" w:color="auto"/>
            <w:left w:val="none" w:sz="0" w:space="0" w:color="auto"/>
            <w:bottom w:val="none" w:sz="0" w:space="0" w:color="auto"/>
            <w:right w:val="none" w:sz="0" w:space="0" w:color="auto"/>
          </w:divBdr>
          <w:divsChild>
            <w:div w:id="1598055602">
              <w:marLeft w:val="0"/>
              <w:marRight w:val="0"/>
              <w:marTop w:val="0"/>
              <w:marBottom w:val="0"/>
              <w:divBdr>
                <w:top w:val="none" w:sz="0" w:space="0" w:color="auto"/>
                <w:left w:val="none" w:sz="0" w:space="0" w:color="auto"/>
                <w:bottom w:val="none" w:sz="0" w:space="0" w:color="auto"/>
                <w:right w:val="none" w:sz="0" w:space="0" w:color="auto"/>
              </w:divBdr>
            </w:div>
            <w:div w:id="353189519">
              <w:marLeft w:val="0"/>
              <w:marRight w:val="0"/>
              <w:marTop w:val="0"/>
              <w:marBottom w:val="0"/>
              <w:divBdr>
                <w:top w:val="none" w:sz="0" w:space="0" w:color="auto"/>
                <w:left w:val="none" w:sz="0" w:space="0" w:color="auto"/>
                <w:bottom w:val="none" w:sz="0" w:space="0" w:color="auto"/>
                <w:right w:val="none" w:sz="0" w:space="0" w:color="auto"/>
              </w:divBdr>
            </w:div>
          </w:divsChild>
        </w:div>
        <w:div w:id="1578636945">
          <w:marLeft w:val="0"/>
          <w:marRight w:val="0"/>
          <w:marTop w:val="0"/>
          <w:marBottom w:val="0"/>
          <w:divBdr>
            <w:top w:val="none" w:sz="0" w:space="0" w:color="auto"/>
            <w:left w:val="none" w:sz="0" w:space="0" w:color="auto"/>
            <w:bottom w:val="none" w:sz="0" w:space="0" w:color="auto"/>
            <w:right w:val="none" w:sz="0" w:space="0" w:color="auto"/>
          </w:divBdr>
          <w:divsChild>
            <w:div w:id="2097970810">
              <w:marLeft w:val="0"/>
              <w:marRight w:val="0"/>
              <w:marTop w:val="0"/>
              <w:marBottom w:val="0"/>
              <w:divBdr>
                <w:top w:val="none" w:sz="0" w:space="0" w:color="auto"/>
                <w:left w:val="none" w:sz="0" w:space="0" w:color="auto"/>
                <w:bottom w:val="none" w:sz="0" w:space="0" w:color="auto"/>
                <w:right w:val="none" w:sz="0" w:space="0" w:color="auto"/>
              </w:divBdr>
            </w:div>
            <w:div w:id="1271744583">
              <w:marLeft w:val="0"/>
              <w:marRight w:val="0"/>
              <w:marTop w:val="0"/>
              <w:marBottom w:val="0"/>
              <w:divBdr>
                <w:top w:val="none" w:sz="0" w:space="0" w:color="auto"/>
                <w:left w:val="none" w:sz="0" w:space="0" w:color="auto"/>
                <w:bottom w:val="none" w:sz="0" w:space="0" w:color="auto"/>
                <w:right w:val="none" w:sz="0" w:space="0" w:color="auto"/>
              </w:divBdr>
            </w:div>
          </w:divsChild>
        </w:div>
        <w:div w:id="1363049005">
          <w:marLeft w:val="0"/>
          <w:marRight w:val="0"/>
          <w:marTop w:val="0"/>
          <w:marBottom w:val="0"/>
          <w:divBdr>
            <w:top w:val="none" w:sz="0" w:space="0" w:color="auto"/>
            <w:left w:val="none" w:sz="0" w:space="0" w:color="auto"/>
            <w:bottom w:val="none" w:sz="0" w:space="0" w:color="auto"/>
            <w:right w:val="none" w:sz="0" w:space="0" w:color="auto"/>
          </w:divBdr>
          <w:divsChild>
            <w:div w:id="1232235643">
              <w:marLeft w:val="0"/>
              <w:marRight w:val="0"/>
              <w:marTop w:val="0"/>
              <w:marBottom w:val="0"/>
              <w:divBdr>
                <w:top w:val="none" w:sz="0" w:space="0" w:color="auto"/>
                <w:left w:val="none" w:sz="0" w:space="0" w:color="auto"/>
                <w:bottom w:val="none" w:sz="0" w:space="0" w:color="auto"/>
                <w:right w:val="none" w:sz="0" w:space="0" w:color="auto"/>
              </w:divBdr>
            </w:div>
            <w:div w:id="1383754641">
              <w:marLeft w:val="0"/>
              <w:marRight w:val="0"/>
              <w:marTop w:val="0"/>
              <w:marBottom w:val="0"/>
              <w:divBdr>
                <w:top w:val="none" w:sz="0" w:space="0" w:color="auto"/>
                <w:left w:val="none" w:sz="0" w:space="0" w:color="auto"/>
                <w:bottom w:val="none" w:sz="0" w:space="0" w:color="auto"/>
                <w:right w:val="none" w:sz="0" w:space="0" w:color="auto"/>
              </w:divBdr>
            </w:div>
          </w:divsChild>
        </w:div>
        <w:div w:id="2110268582">
          <w:marLeft w:val="0"/>
          <w:marRight w:val="0"/>
          <w:marTop w:val="0"/>
          <w:marBottom w:val="0"/>
          <w:divBdr>
            <w:top w:val="none" w:sz="0" w:space="0" w:color="auto"/>
            <w:left w:val="none" w:sz="0" w:space="0" w:color="auto"/>
            <w:bottom w:val="none" w:sz="0" w:space="0" w:color="auto"/>
            <w:right w:val="none" w:sz="0" w:space="0" w:color="auto"/>
          </w:divBdr>
          <w:divsChild>
            <w:div w:id="1172717959">
              <w:marLeft w:val="0"/>
              <w:marRight w:val="0"/>
              <w:marTop w:val="0"/>
              <w:marBottom w:val="0"/>
              <w:divBdr>
                <w:top w:val="none" w:sz="0" w:space="0" w:color="auto"/>
                <w:left w:val="none" w:sz="0" w:space="0" w:color="auto"/>
                <w:bottom w:val="none" w:sz="0" w:space="0" w:color="auto"/>
                <w:right w:val="none" w:sz="0" w:space="0" w:color="auto"/>
              </w:divBdr>
            </w:div>
            <w:div w:id="2085368802">
              <w:marLeft w:val="0"/>
              <w:marRight w:val="0"/>
              <w:marTop w:val="0"/>
              <w:marBottom w:val="0"/>
              <w:divBdr>
                <w:top w:val="none" w:sz="0" w:space="0" w:color="auto"/>
                <w:left w:val="none" w:sz="0" w:space="0" w:color="auto"/>
                <w:bottom w:val="none" w:sz="0" w:space="0" w:color="auto"/>
                <w:right w:val="none" w:sz="0" w:space="0" w:color="auto"/>
              </w:divBdr>
            </w:div>
          </w:divsChild>
        </w:div>
        <w:div w:id="1587575686">
          <w:marLeft w:val="0"/>
          <w:marRight w:val="0"/>
          <w:marTop w:val="0"/>
          <w:marBottom w:val="0"/>
          <w:divBdr>
            <w:top w:val="none" w:sz="0" w:space="0" w:color="auto"/>
            <w:left w:val="none" w:sz="0" w:space="0" w:color="auto"/>
            <w:bottom w:val="none" w:sz="0" w:space="0" w:color="auto"/>
            <w:right w:val="none" w:sz="0" w:space="0" w:color="auto"/>
          </w:divBdr>
          <w:divsChild>
            <w:div w:id="93522806">
              <w:marLeft w:val="0"/>
              <w:marRight w:val="0"/>
              <w:marTop w:val="0"/>
              <w:marBottom w:val="0"/>
              <w:divBdr>
                <w:top w:val="none" w:sz="0" w:space="0" w:color="auto"/>
                <w:left w:val="none" w:sz="0" w:space="0" w:color="auto"/>
                <w:bottom w:val="none" w:sz="0" w:space="0" w:color="auto"/>
                <w:right w:val="none" w:sz="0" w:space="0" w:color="auto"/>
              </w:divBdr>
            </w:div>
            <w:div w:id="853306732">
              <w:marLeft w:val="0"/>
              <w:marRight w:val="0"/>
              <w:marTop w:val="0"/>
              <w:marBottom w:val="0"/>
              <w:divBdr>
                <w:top w:val="none" w:sz="0" w:space="0" w:color="auto"/>
                <w:left w:val="none" w:sz="0" w:space="0" w:color="auto"/>
                <w:bottom w:val="none" w:sz="0" w:space="0" w:color="auto"/>
                <w:right w:val="none" w:sz="0" w:space="0" w:color="auto"/>
              </w:divBdr>
            </w:div>
          </w:divsChild>
        </w:div>
        <w:div w:id="1172062994">
          <w:marLeft w:val="0"/>
          <w:marRight w:val="0"/>
          <w:marTop w:val="0"/>
          <w:marBottom w:val="0"/>
          <w:divBdr>
            <w:top w:val="none" w:sz="0" w:space="0" w:color="auto"/>
            <w:left w:val="none" w:sz="0" w:space="0" w:color="auto"/>
            <w:bottom w:val="none" w:sz="0" w:space="0" w:color="auto"/>
            <w:right w:val="none" w:sz="0" w:space="0" w:color="auto"/>
          </w:divBdr>
          <w:divsChild>
            <w:div w:id="1801923460">
              <w:marLeft w:val="0"/>
              <w:marRight w:val="0"/>
              <w:marTop w:val="0"/>
              <w:marBottom w:val="0"/>
              <w:divBdr>
                <w:top w:val="none" w:sz="0" w:space="0" w:color="auto"/>
                <w:left w:val="none" w:sz="0" w:space="0" w:color="auto"/>
                <w:bottom w:val="none" w:sz="0" w:space="0" w:color="auto"/>
                <w:right w:val="none" w:sz="0" w:space="0" w:color="auto"/>
              </w:divBdr>
            </w:div>
            <w:div w:id="122506404">
              <w:marLeft w:val="0"/>
              <w:marRight w:val="0"/>
              <w:marTop w:val="0"/>
              <w:marBottom w:val="0"/>
              <w:divBdr>
                <w:top w:val="none" w:sz="0" w:space="0" w:color="auto"/>
                <w:left w:val="none" w:sz="0" w:space="0" w:color="auto"/>
                <w:bottom w:val="none" w:sz="0" w:space="0" w:color="auto"/>
                <w:right w:val="none" w:sz="0" w:space="0" w:color="auto"/>
              </w:divBdr>
            </w:div>
          </w:divsChild>
        </w:div>
        <w:div w:id="802843789">
          <w:marLeft w:val="0"/>
          <w:marRight w:val="0"/>
          <w:marTop w:val="0"/>
          <w:marBottom w:val="0"/>
          <w:divBdr>
            <w:top w:val="none" w:sz="0" w:space="0" w:color="auto"/>
            <w:left w:val="none" w:sz="0" w:space="0" w:color="auto"/>
            <w:bottom w:val="none" w:sz="0" w:space="0" w:color="auto"/>
            <w:right w:val="none" w:sz="0" w:space="0" w:color="auto"/>
          </w:divBdr>
          <w:divsChild>
            <w:div w:id="873882539">
              <w:marLeft w:val="0"/>
              <w:marRight w:val="0"/>
              <w:marTop w:val="0"/>
              <w:marBottom w:val="0"/>
              <w:divBdr>
                <w:top w:val="none" w:sz="0" w:space="0" w:color="auto"/>
                <w:left w:val="none" w:sz="0" w:space="0" w:color="auto"/>
                <w:bottom w:val="none" w:sz="0" w:space="0" w:color="auto"/>
                <w:right w:val="none" w:sz="0" w:space="0" w:color="auto"/>
              </w:divBdr>
            </w:div>
            <w:div w:id="829833455">
              <w:marLeft w:val="0"/>
              <w:marRight w:val="0"/>
              <w:marTop w:val="0"/>
              <w:marBottom w:val="0"/>
              <w:divBdr>
                <w:top w:val="none" w:sz="0" w:space="0" w:color="auto"/>
                <w:left w:val="none" w:sz="0" w:space="0" w:color="auto"/>
                <w:bottom w:val="none" w:sz="0" w:space="0" w:color="auto"/>
                <w:right w:val="none" w:sz="0" w:space="0" w:color="auto"/>
              </w:divBdr>
            </w:div>
          </w:divsChild>
        </w:div>
        <w:div w:id="717632846">
          <w:marLeft w:val="0"/>
          <w:marRight w:val="0"/>
          <w:marTop w:val="0"/>
          <w:marBottom w:val="0"/>
          <w:divBdr>
            <w:top w:val="none" w:sz="0" w:space="0" w:color="auto"/>
            <w:left w:val="none" w:sz="0" w:space="0" w:color="auto"/>
            <w:bottom w:val="none" w:sz="0" w:space="0" w:color="auto"/>
            <w:right w:val="none" w:sz="0" w:space="0" w:color="auto"/>
          </w:divBdr>
          <w:divsChild>
            <w:div w:id="308704648">
              <w:marLeft w:val="0"/>
              <w:marRight w:val="0"/>
              <w:marTop w:val="0"/>
              <w:marBottom w:val="0"/>
              <w:divBdr>
                <w:top w:val="none" w:sz="0" w:space="0" w:color="auto"/>
                <w:left w:val="none" w:sz="0" w:space="0" w:color="auto"/>
                <w:bottom w:val="none" w:sz="0" w:space="0" w:color="auto"/>
                <w:right w:val="none" w:sz="0" w:space="0" w:color="auto"/>
              </w:divBdr>
            </w:div>
            <w:div w:id="325671750">
              <w:marLeft w:val="0"/>
              <w:marRight w:val="0"/>
              <w:marTop w:val="0"/>
              <w:marBottom w:val="0"/>
              <w:divBdr>
                <w:top w:val="none" w:sz="0" w:space="0" w:color="auto"/>
                <w:left w:val="none" w:sz="0" w:space="0" w:color="auto"/>
                <w:bottom w:val="none" w:sz="0" w:space="0" w:color="auto"/>
                <w:right w:val="none" w:sz="0" w:space="0" w:color="auto"/>
              </w:divBdr>
            </w:div>
          </w:divsChild>
        </w:div>
        <w:div w:id="1590390193">
          <w:marLeft w:val="0"/>
          <w:marRight w:val="0"/>
          <w:marTop w:val="0"/>
          <w:marBottom w:val="0"/>
          <w:divBdr>
            <w:top w:val="none" w:sz="0" w:space="0" w:color="auto"/>
            <w:left w:val="none" w:sz="0" w:space="0" w:color="auto"/>
            <w:bottom w:val="none" w:sz="0" w:space="0" w:color="auto"/>
            <w:right w:val="none" w:sz="0" w:space="0" w:color="auto"/>
          </w:divBdr>
          <w:divsChild>
            <w:div w:id="355548663">
              <w:marLeft w:val="0"/>
              <w:marRight w:val="0"/>
              <w:marTop w:val="0"/>
              <w:marBottom w:val="0"/>
              <w:divBdr>
                <w:top w:val="none" w:sz="0" w:space="0" w:color="auto"/>
                <w:left w:val="none" w:sz="0" w:space="0" w:color="auto"/>
                <w:bottom w:val="none" w:sz="0" w:space="0" w:color="auto"/>
                <w:right w:val="none" w:sz="0" w:space="0" w:color="auto"/>
              </w:divBdr>
            </w:div>
            <w:div w:id="1011026767">
              <w:marLeft w:val="0"/>
              <w:marRight w:val="0"/>
              <w:marTop w:val="0"/>
              <w:marBottom w:val="0"/>
              <w:divBdr>
                <w:top w:val="none" w:sz="0" w:space="0" w:color="auto"/>
                <w:left w:val="none" w:sz="0" w:space="0" w:color="auto"/>
                <w:bottom w:val="none" w:sz="0" w:space="0" w:color="auto"/>
                <w:right w:val="none" w:sz="0" w:space="0" w:color="auto"/>
              </w:divBdr>
            </w:div>
          </w:divsChild>
        </w:div>
        <w:div w:id="1016690597">
          <w:marLeft w:val="0"/>
          <w:marRight w:val="0"/>
          <w:marTop w:val="0"/>
          <w:marBottom w:val="0"/>
          <w:divBdr>
            <w:top w:val="none" w:sz="0" w:space="0" w:color="auto"/>
            <w:left w:val="none" w:sz="0" w:space="0" w:color="auto"/>
            <w:bottom w:val="none" w:sz="0" w:space="0" w:color="auto"/>
            <w:right w:val="none" w:sz="0" w:space="0" w:color="auto"/>
          </w:divBdr>
          <w:divsChild>
            <w:div w:id="958799096">
              <w:marLeft w:val="0"/>
              <w:marRight w:val="0"/>
              <w:marTop w:val="0"/>
              <w:marBottom w:val="0"/>
              <w:divBdr>
                <w:top w:val="none" w:sz="0" w:space="0" w:color="auto"/>
                <w:left w:val="none" w:sz="0" w:space="0" w:color="auto"/>
                <w:bottom w:val="none" w:sz="0" w:space="0" w:color="auto"/>
                <w:right w:val="none" w:sz="0" w:space="0" w:color="auto"/>
              </w:divBdr>
            </w:div>
            <w:div w:id="1656958023">
              <w:marLeft w:val="0"/>
              <w:marRight w:val="0"/>
              <w:marTop w:val="0"/>
              <w:marBottom w:val="0"/>
              <w:divBdr>
                <w:top w:val="none" w:sz="0" w:space="0" w:color="auto"/>
                <w:left w:val="none" w:sz="0" w:space="0" w:color="auto"/>
                <w:bottom w:val="none" w:sz="0" w:space="0" w:color="auto"/>
                <w:right w:val="none" w:sz="0" w:space="0" w:color="auto"/>
              </w:divBdr>
            </w:div>
          </w:divsChild>
        </w:div>
        <w:div w:id="259262070">
          <w:marLeft w:val="0"/>
          <w:marRight w:val="0"/>
          <w:marTop w:val="0"/>
          <w:marBottom w:val="0"/>
          <w:divBdr>
            <w:top w:val="none" w:sz="0" w:space="0" w:color="auto"/>
            <w:left w:val="none" w:sz="0" w:space="0" w:color="auto"/>
            <w:bottom w:val="none" w:sz="0" w:space="0" w:color="auto"/>
            <w:right w:val="none" w:sz="0" w:space="0" w:color="auto"/>
          </w:divBdr>
          <w:divsChild>
            <w:div w:id="230194852">
              <w:marLeft w:val="0"/>
              <w:marRight w:val="0"/>
              <w:marTop w:val="0"/>
              <w:marBottom w:val="0"/>
              <w:divBdr>
                <w:top w:val="none" w:sz="0" w:space="0" w:color="auto"/>
                <w:left w:val="none" w:sz="0" w:space="0" w:color="auto"/>
                <w:bottom w:val="none" w:sz="0" w:space="0" w:color="auto"/>
                <w:right w:val="none" w:sz="0" w:space="0" w:color="auto"/>
              </w:divBdr>
            </w:div>
          </w:divsChild>
        </w:div>
        <w:div w:id="798962034">
          <w:marLeft w:val="0"/>
          <w:marRight w:val="0"/>
          <w:marTop w:val="0"/>
          <w:marBottom w:val="0"/>
          <w:divBdr>
            <w:top w:val="none" w:sz="0" w:space="0" w:color="auto"/>
            <w:left w:val="none" w:sz="0" w:space="0" w:color="auto"/>
            <w:bottom w:val="none" w:sz="0" w:space="0" w:color="auto"/>
            <w:right w:val="none" w:sz="0" w:space="0" w:color="auto"/>
          </w:divBdr>
          <w:divsChild>
            <w:div w:id="1578587390">
              <w:marLeft w:val="0"/>
              <w:marRight w:val="0"/>
              <w:marTop w:val="0"/>
              <w:marBottom w:val="0"/>
              <w:divBdr>
                <w:top w:val="none" w:sz="0" w:space="0" w:color="auto"/>
                <w:left w:val="none" w:sz="0" w:space="0" w:color="auto"/>
                <w:bottom w:val="none" w:sz="0" w:space="0" w:color="auto"/>
                <w:right w:val="none" w:sz="0" w:space="0" w:color="auto"/>
              </w:divBdr>
            </w:div>
          </w:divsChild>
        </w:div>
        <w:div w:id="67922477">
          <w:marLeft w:val="0"/>
          <w:marRight w:val="0"/>
          <w:marTop w:val="0"/>
          <w:marBottom w:val="0"/>
          <w:divBdr>
            <w:top w:val="none" w:sz="0" w:space="0" w:color="auto"/>
            <w:left w:val="none" w:sz="0" w:space="0" w:color="auto"/>
            <w:bottom w:val="none" w:sz="0" w:space="0" w:color="auto"/>
            <w:right w:val="none" w:sz="0" w:space="0" w:color="auto"/>
          </w:divBdr>
          <w:divsChild>
            <w:div w:id="1892030819">
              <w:marLeft w:val="0"/>
              <w:marRight w:val="0"/>
              <w:marTop w:val="0"/>
              <w:marBottom w:val="0"/>
              <w:divBdr>
                <w:top w:val="none" w:sz="0" w:space="0" w:color="auto"/>
                <w:left w:val="none" w:sz="0" w:space="0" w:color="auto"/>
                <w:bottom w:val="none" w:sz="0" w:space="0" w:color="auto"/>
                <w:right w:val="none" w:sz="0" w:space="0" w:color="auto"/>
              </w:divBdr>
            </w:div>
          </w:divsChild>
        </w:div>
        <w:div w:id="1793287389">
          <w:marLeft w:val="0"/>
          <w:marRight w:val="0"/>
          <w:marTop w:val="0"/>
          <w:marBottom w:val="0"/>
          <w:divBdr>
            <w:top w:val="none" w:sz="0" w:space="0" w:color="auto"/>
            <w:left w:val="none" w:sz="0" w:space="0" w:color="auto"/>
            <w:bottom w:val="none" w:sz="0" w:space="0" w:color="auto"/>
            <w:right w:val="none" w:sz="0" w:space="0" w:color="auto"/>
          </w:divBdr>
          <w:divsChild>
            <w:div w:id="1919559779">
              <w:marLeft w:val="0"/>
              <w:marRight w:val="0"/>
              <w:marTop w:val="0"/>
              <w:marBottom w:val="0"/>
              <w:divBdr>
                <w:top w:val="none" w:sz="0" w:space="0" w:color="auto"/>
                <w:left w:val="none" w:sz="0" w:space="0" w:color="auto"/>
                <w:bottom w:val="none" w:sz="0" w:space="0" w:color="auto"/>
                <w:right w:val="none" w:sz="0" w:space="0" w:color="auto"/>
              </w:divBdr>
            </w:div>
          </w:divsChild>
        </w:div>
        <w:div w:id="87577235">
          <w:marLeft w:val="0"/>
          <w:marRight w:val="0"/>
          <w:marTop w:val="0"/>
          <w:marBottom w:val="0"/>
          <w:divBdr>
            <w:top w:val="none" w:sz="0" w:space="0" w:color="auto"/>
            <w:left w:val="none" w:sz="0" w:space="0" w:color="auto"/>
            <w:bottom w:val="none" w:sz="0" w:space="0" w:color="auto"/>
            <w:right w:val="none" w:sz="0" w:space="0" w:color="auto"/>
          </w:divBdr>
          <w:divsChild>
            <w:div w:id="550575940">
              <w:marLeft w:val="0"/>
              <w:marRight w:val="0"/>
              <w:marTop w:val="0"/>
              <w:marBottom w:val="0"/>
              <w:divBdr>
                <w:top w:val="none" w:sz="0" w:space="0" w:color="auto"/>
                <w:left w:val="none" w:sz="0" w:space="0" w:color="auto"/>
                <w:bottom w:val="none" w:sz="0" w:space="0" w:color="auto"/>
                <w:right w:val="none" w:sz="0" w:space="0" w:color="auto"/>
              </w:divBdr>
            </w:div>
          </w:divsChild>
        </w:div>
        <w:div w:id="765418043">
          <w:marLeft w:val="0"/>
          <w:marRight w:val="0"/>
          <w:marTop w:val="0"/>
          <w:marBottom w:val="0"/>
          <w:divBdr>
            <w:top w:val="none" w:sz="0" w:space="0" w:color="auto"/>
            <w:left w:val="none" w:sz="0" w:space="0" w:color="auto"/>
            <w:bottom w:val="none" w:sz="0" w:space="0" w:color="auto"/>
            <w:right w:val="none" w:sz="0" w:space="0" w:color="auto"/>
          </w:divBdr>
          <w:divsChild>
            <w:div w:id="1767579004">
              <w:marLeft w:val="0"/>
              <w:marRight w:val="0"/>
              <w:marTop w:val="0"/>
              <w:marBottom w:val="0"/>
              <w:divBdr>
                <w:top w:val="none" w:sz="0" w:space="0" w:color="auto"/>
                <w:left w:val="none" w:sz="0" w:space="0" w:color="auto"/>
                <w:bottom w:val="none" w:sz="0" w:space="0" w:color="auto"/>
                <w:right w:val="none" w:sz="0" w:space="0" w:color="auto"/>
              </w:divBdr>
            </w:div>
          </w:divsChild>
        </w:div>
        <w:div w:id="511144694">
          <w:marLeft w:val="0"/>
          <w:marRight w:val="0"/>
          <w:marTop w:val="0"/>
          <w:marBottom w:val="0"/>
          <w:divBdr>
            <w:top w:val="none" w:sz="0" w:space="0" w:color="auto"/>
            <w:left w:val="none" w:sz="0" w:space="0" w:color="auto"/>
            <w:bottom w:val="none" w:sz="0" w:space="0" w:color="auto"/>
            <w:right w:val="none" w:sz="0" w:space="0" w:color="auto"/>
          </w:divBdr>
          <w:divsChild>
            <w:div w:id="939262360">
              <w:marLeft w:val="0"/>
              <w:marRight w:val="0"/>
              <w:marTop w:val="0"/>
              <w:marBottom w:val="0"/>
              <w:divBdr>
                <w:top w:val="none" w:sz="0" w:space="0" w:color="auto"/>
                <w:left w:val="none" w:sz="0" w:space="0" w:color="auto"/>
                <w:bottom w:val="none" w:sz="0" w:space="0" w:color="auto"/>
                <w:right w:val="none" w:sz="0" w:space="0" w:color="auto"/>
              </w:divBdr>
            </w:div>
          </w:divsChild>
        </w:div>
        <w:div w:id="217284205">
          <w:marLeft w:val="0"/>
          <w:marRight w:val="0"/>
          <w:marTop w:val="0"/>
          <w:marBottom w:val="0"/>
          <w:divBdr>
            <w:top w:val="none" w:sz="0" w:space="0" w:color="auto"/>
            <w:left w:val="none" w:sz="0" w:space="0" w:color="auto"/>
            <w:bottom w:val="none" w:sz="0" w:space="0" w:color="auto"/>
            <w:right w:val="none" w:sz="0" w:space="0" w:color="auto"/>
          </w:divBdr>
          <w:divsChild>
            <w:div w:id="1960796541">
              <w:marLeft w:val="0"/>
              <w:marRight w:val="0"/>
              <w:marTop w:val="0"/>
              <w:marBottom w:val="0"/>
              <w:divBdr>
                <w:top w:val="none" w:sz="0" w:space="0" w:color="auto"/>
                <w:left w:val="none" w:sz="0" w:space="0" w:color="auto"/>
                <w:bottom w:val="none" w:sz="0" w:space="0" w:color="auto"/>
                <w:right w:val="none" w:sz="0" w:space="0" w:color="auto"/>
              </w:divBdr>
            </w:div>
          </w:divsChild>
        </w:div>
        <w:div w:id="1298536697">
          <w:marLeft w:val="0"/>
          <w:marRight w:val="0"/>
          <w:marTop w:val="0"/>
          <w:marBottom w:val="0"/>
          <w:divBdr>
            <w:top w:val="none" w:sz="0" w:space="0" w:color="auto"/>
            <w:left w:val="none" w:sz="0" w:space="0" w:color="auto"/>
            <w:bottom w:val="none" w:sz="0" w:space="0" w:color="auto"/>
            <w:right w:val="none" w:sz="0" w:space="0" w:color="auto"/>
          </w:divBdr>
          <w:divsChild>
            <w:div w:id="941257888">
              <w:marLeft w:val="0"/>
              <w:marRight w:val="0"/>
              <w:marTop w:val="0"/>
              <w:marBottom w:val="0"/>
              <w:divBdr>
                <w:top w:val="none" w:sz="0" w:space="0" w:color="auto"/>
                <w:left w:val="none" w:sz="0" w:space="0" w:color="auto"/>
                <w:bottom w:val="none" w:sz="0" w:space="0" w:color="auto"/>
                <w:right w:val="none" w:sz="0" w:space="0" w:color="auto"/>
              </w:divBdr>
            </w:div>
          </w:divsChild>
        </w:div>
        <w:div w:id="1341740223">
          <w:marLeft w:val="0"/>
          <w:marRight w:val="0"/>
          <w:marTop w:val="0"/>
          <w:marBottom w:val="0"/>
          <w:divBdr>
            <w:top w:val="none" w:sz="0" w:space="0" w:color="auto"/>
            <w:left w:val="none" w:sz="0" w:space="0" w:color="auto"/>
            <w:bottom w:val="none" w:sz="0" w:space="0" w:color="auto"/>
            <w:right w:val="none" w:sz="0" w:space="0" w:color="auto"/>
          </w:divBdr>
          <w:divsChild>
            <w:div w:id="477694121">
              <w:marLeft w:val="0"/>
              <w:marRight w:val="0"/>
              <w:marTop w:val="0"/>
              <w:marBottom w:val="0"/>
              <w:divBdr>
                <w:top w:val="none" w:sz="0" w:space="0" w:color="auto"/>
                <w:left w:val="none" w:sz="0" w:space="0" w:color="auto"/>
                <w:bottom w:val="none" w:sz="0" w:space="0" w:color="auto"/>
                <w:right w:val="none" w:sz="0" w:space="0" w:color="auto"/>
              </w:divBdr>
            </w:div>
          </w:divsChild>
        </w:div>
        <w:div w:id="2011329607">
          <w:marLeft w:val="0"/>
          <w:marRight w:val="0"/>
          <w:marTop w:val="0"/>
          <w:marBottom w:val="0"/>
          <w:divBdr>
            <w:top w:val="none" w:sz="0" w:space="0" w:color="auto"/>
            <w:left w:val="none" w:sz="0" w:space="0" w:color="auto"/>
            <w:bottom w:val="none" w:sz="0" w:space="0" w:color="auto"/>
            <w:right w:val="none" w:sz="0" w:space="0" w:color="auto"/>
          </w:divBdr>
          <w:divsChild>
            <w:div w:id="1061562070">
              <w:marLeft w:val="0"/>
              <w:marRight w:val="0"/>
              <w:marTop w:val="0"/>
              <w:marBottom w:val="0"/>
              <w:divBdr>
                <w:top w:val="none" w:sz="0" w:space="0" w:color="auto"/>
                <w:left w:val="none" w:sz="0" w:space="0" w:color="auto"/>
                <w:bottom w:val="none" w:sz="0" w:space="0" w:color="auto"/>
                <w:right w:val="none" w:sz="0" w:space="0" w:color="auto"/>
              </w:divBdr>
            </w:div>
          </w:divsChild>
        </w:div>
        <w:div w:id="1225488437">
          <w:marLeft w:val="0"/>
          <w:marRight w:val="0"/>
          <w:marTop w:val="0"/>
          <w:marBottom w:val="0"/>
          <w:divBdr>
            <w:top w:val="none" w:sz="0" w:space="0" w:color="auto"/>
            <w:left w:val="none" w:sz="0" w:space="0" w:color="auto"/>
            <w:bottom w:val="none" w:sz="0" w:space="0" w:color="auto"/>
            <w:right w:val="none" w:sz="0" w:space="0" w:color="auto"/>
          </w:divBdr>
          <w:divsChild>
            <w:div w:id="1638531297">
              <w:marLeft w:val="0"/>
              <w:marRight w:val="0"/>
              <w:marTop w:val="0"/>
              <w:marBottom w:val="0"/>
              <w:divBdr>
                <w:top w:val="none" w:sz="0" w:space="0" w:color="auto"/>
                <w:left w:val="none" w:sz="0" w:space="0" w:color="auto"/>
                <w:bottom w:val="none" w:sz="0" w:space="0" w:color="auto"/>
                <w:right w:val="none" w:sz="0" w:space="0" w:color="auto"/>
              </w:divBdr>
            </w:div>
          </w:divsChild>
        </w:div>
        <w:div w:id="1986816475">
          <w:marLeft w:val="0"/>
          <w:marRight w:val="0"/>
          <w:marTop w:val="0"/>
          <w:marBottom w:val="0"/>
          <w:divBdr>
            <w:top w:val="none" w:sz="0" w:space="0" w:color="auto"/>
            <w:left w:val="none" w:sz="0" w:space="0" w:color="auto"/>
            <w:bottom w:val="none" w:sz="0" w:space="0" w:color="auto"/>
            <w:right w:val="none" w:sz="0" w:space="0" w:color="auto"/>
          </w:divBdr>
          <w:divsChild>
            <w:div w:id="1149248030">
              <w:marLeft w:val="0"/>
              <w:marRight w:val="0"/>
              <w:marTop w:val="0"/>
              <w:marBottom w:val="0"/>
              <w:divBdr>
                <w:top w:val="none" w:sz="0" w:space="0" w:color="auto"/>
                <w:left w:val="none" w:sz="0" w:space="0" w:color="auto"/>
                <w:bottom w:val="none" w:sz="0" w:space="0" w:color="auto"/>
                <w:right w:val="none" w:sz="0" w:space="0" w:color="auto"/>
              </w:divBdr>
            </w:div>
          </w:divsChild>
        </w:div>
        <w:div w:id="1721634728">
          <w:marLeft w:val="0"/>
          <w:marRight w:val="0"/>
          <w:marTop w:val="0"/>
          <w:marBottom w:val="0"/>
          <w:divBdr>
            <w:top w:val="none" w:sz="0" w:space="0" w:color="auto"/>
            <w:left w:val="none" w:sz="0" w:space="0" w:color="auto"/>
            <w:bottom w:val="none" w:sz="0" w:space="0" w:color="auto"/>
            <w:right w:val="none" w:sz="0" w:space="0" w:color="auto"/>
          </w:divBdr>
          <w:divsChild>
            <w:div w:id="284317851">
              <w:marLeft w:val="0"/>
              <w:marRight w:val="0"/>
              <w:marTop w:val="0"/>
              <w:marBottom w:val="0"/>
              <w:divBdr>
                <w:top w:val="none" w:sz="0" w:space="0" w:color="auto"/>
                <w:left w:val="none" w:sz="0" w:space="0" w:color="auto"/>
                <w:bottom w:val="none" w:sz="0" w:space="0" w:color="auto"/>
                <w:right w:val="none" w:sz="0" w:space="0" w:color="auto"/>
              </w:divBdr>
            </w:div>
          </w:divsChild>
        </w:div>
        <w:div w:id="1320648528">
          <w:marLeft w:val="0"/>
          <w:marRight w:val="0"/>
          <w:marTop w:val="0"/>
          <w:marBottom w:val="0"/>
          <w:divBdr>
            <w:top w:val="none" w:sz="0" w:space="0" w:color="auto"/>
            <w:left w:val="none" w:sz="0" w:space="0" w:color="auto"/>
            <w:bottom w:val="none" w:sz="0" w:space="0" w:color="auto"/>
            <w:right w:val="none" w:sz="0" w:space="0" w:color="auto"/>
          </w:divBdr>
          <w:divsChild>
            <w:div w:id="993340527">
              <w:marLeft w:val="0"/>
              <w:marRight w:val="0"/>
              <w:marTop w:val="0"/>
              <w:marBottom w:val="0"/>
              <w:divBdr>
                <w:top w:val="none" w:sz="0" w:space="0" w:color="auto"/>
                <w:left w:val="none" w:sz="0" w:space="0" w:color="auto"/>
                <w:bottom w:val="none" w:sz="0" w:space="0" w:color="auto"/>
                <w:right w:val="none" w:sz="0" w:space="0" w:color="auto"/>
              </w:divBdr>
            </w:div>
            <w:div w:id="1072390049">
              <w:marLeft w:val="0"/>
              <w:marRight w:val="0"/>
              <w:marTop w:val="0"/>
              <w:marBottom w:val="0"/>
              <w:divBdr>
                <w:top w:val="none" w:sz="0" w:space="0" w:color="auto"/>
                <w:left w:val="none" w:sz="0" w:space="0" w:color="auto"/>
                <w:bottom w:val="none" w:sz="0" w:space="0" w:color="auto"/>
                <w:right w:val="none" w:sz="0" w:space="0" w:color="auto"/>
              </w:divBdr>
            </w:div>
          </w:divsChild>
        </w:div>
        <w:div w:id="67270132">
          <w:marLeft w:val="0"/>
          <w:marRight w:val="0"/>
          <w:marTop w:val="0"/>
          <w:marBottom w:val="0"/>
          <w:divBdr>
            <w:top w:val="none" w:sz="0" w:space="0" w:color="auto"/>
            <w:left w:val="none" w:sz="0" w:space="0" w:color="auto"/>
            <w:bottom w:val="none" w:sz="0" w:space="0" w:color="auto"/>
            <w:right w:val="none" w:sz="0" w:space="0" w:color="auto"/>
          </w:divBdr>
          <w:divsChild>
            <w:div w:id="1150289431">
              <w:marLeft w:val="0"/>
              <w:marRight w:val="0"/>
              <w:marTop w:val="0"/>
              <w:marBottom w:val="0"/>
              <w:divBdr>
                <w:top w:val="none" w:sz="0" w:space="0" w:color="auto"/>
                <w:left w:val="none" w:sz="0" w:space="0" w:color="auto"/>
                <w:bottom w:val="none" w:sz="0" w:space="0" w:color="auto"/>
                <w:right w:val="none" w:sz="0" w:space="0" w:color="auto"/>
              </w:divBdr>
            </w:div>
            <w:div w:id="429161467">
              <w:marLeft w:val="0"/>
              <w:marRight w:val="0"/>
              <w:marTop w:val="0"/>
              <w:marBottom w:val="0"/>
              <w:divBdr>
                <w:top w:val="none" w:sz="0" w:space="0" w:color="auto"/>
                <w:left w:val="none" w:sz="0" w:space="0" w:color="auto"/>
                <w:bottom w:val="none" w:sz="0" w:space="0" w:color="auto"/>
                <w:right w:val="none" w:sz="0" w:space="0" w:color="auto"/>
              </w:divBdr>
            </w:div>
          </w:divsChild>
        </w:div>
        <w:div w:id="185289921">
          <w:marLeft w:val="0"/>
          <w:marRight w:val="0"/>
          <w:marTop w:val="0"/>
          <w:marBottom w:val="0"/>
          <w:divBdr>
            <w:top w:val="none" w:sz="0" w:space="0" w:color="auto"/>
            <w:left w:val="none" w:sz="0" w:space="0" w:color="auto"/>
            <w:bottom w:val="none" w:sz="0" w:space="0" w:color="auto"/>
            <w:right w:val="none" w:sz="0" w:space="0" w:color="auto"/>
          </w:divBdr>
          <w:divsChild>
            <w:div w:id="1315570081">
              <w:marLeft w:val="0"/>
              <w:marRight w:val="0"/>
              <w:marTop w:val="0"/>
              <w:marBottom w:val="0"/>
              <w:divBdr>
                <w:top w:val="none" w:sz="0" w:space="0" w:color="auto"/>
                <w:left w:val="none" w:sz="0" w:space="0" w:color="auto"/>
                <w:bottom w:val="none" w:sz="0" w:space="0" w:color="auto"/>
                <w:right w:val="none" w:sz="0" w:space="0" w:color="auto"/>
              </w:divBdr>
            </w:div>
          </w:divsChild>
        </w:div>
        <w:div w:id="1016344122">
          <w:marLeft w:val="0"/>
          <w:marRight w:val="0"/>
          <w:marTop w:val="0"/>
          <w:marBottom w:val="0"/>
          <w:divBdr>
            <w:top w:val="none" w:sz="0" w:space="0" w:color="auto"/>
            <w:left w:val="none" w:sz="0" w:space="0" w:color="auto"/>
            <w:bottom w:val="none" w:sz="0" w:space="0" w:color="auto"/>
            <w:right w:val="none" w:sz="0" w:space="0" w:color="auto"/>
          </w:divBdr>
          <w:divsChild>
            <w:div w:id="898790256">
              <w:marLeft w:val="0"/>
              <w:marRight w:val="0"/>
              <w:marTop w:val="0"/>
              <w:marBottom w:val="0"/>
              <w:divBdr>
                <w:top w:val="none" w:sz="0" w:space="0" w:color="auto"/>
                <w:left w:val="none" w:sz="0" w:space="0" w:color="auto"/>
                <w:bottom w:val="none" w:sz="0" w:space="0" w:color="auto"/>
                <w:right w:val="none" w:sz="0" w:space="0" w:color="auto"/>
              </w:divBdr>
            </w:div>
          </w:divsChild>
        </w:div>
        <w:div w:id="1541362201">
          <w:marLeft w:val="0"/>
          <w:marRight w:val="0"/>
          <w:marTop w:val="0"/>
          <w:marBottom w:val="0"/>
          <w:divBdr>
            <w:top w:val="none" w:sz="0" w:space="0" w:color="auto"/>
            <w:left w:val="none" w:sz="0" w:space="0" w:color="auto"/>
            <w:bottom w:val="none" w:sz="0" w:space="0" w:color="auto"/>
            <w:right w:val="none" w:sz="0" w:space="0" w:color="auto"/>
          </w:divBdr>
          <w:divsChild>
            <w:div w:id="1925214061">
              <w:marLeft w:val="0"/>
              <w:marRight w:val="0"/>
              <w:marTop w:val="0"/>
              <w:marBottom w:val="0"/>
              <w:divBdr>
                <w:top w:val="none" w:sz="0" w:space="0" w:color="auto"/>
                <w:left w:val="none" w:sz="0" w:space="0" w:color="auto"/>
                <w:bottom w:val="none" w:sz="0" w:space="0" w:color="auto"/>
                <w:right w:val="none" w:sz="0" w:space="0" w:color="auto"/>
              </w:divBdr>
            </w:div>
          </w:divsChild>
        </w:div>
        <w:div w:id="337540028">
          <w:marLeft w:val="0"/>
          <w:marRight w:val="0"/>
          <w:marTop w:val="0"/>
          <w:marBottom w:val="0"/>
          <w:divBdr>
            <w:top w:val="none" w:sz="0" w:space="0" w:color="auto"/>
            <w:left w:val="none" w:sz="0" w:space="0" w:color="auto"/>
            <w:bottom w:val="none" w:sz="0" w:space="0" w:color="auto"/>
            <w:right w:val="none" w:sz="0" w:space="0" w:color="auto"/>
          </w:divBdr>
          <w:divsChild>
            <w:div w:id="908734324">
              <w:marLeft w:val="0"/>
              <w:marRight w:val="0"/>
              <w:marTop w:val="0"/>
              <w:marBottom w:val="0"/>
              <w:divBdr>
                <w:top w:val="none" w:sz="0" w:space="0" w:color="auto"/>
                <w:left w:val="none" w:sz="0" w:space="0" w:color="auto"/>
                <w:bottom w:val="none" w:sz="0" w:space="0" w:color="auto"/>
                <w:right w:val="none" w:sz="0" w:space="0" w:color="auto"/>
              </w:divBdr>
            </w:div>
          </w:divsChild>
        </w:div>
        <w:div w:id="1198544505">
          <w:marLeft w:val="0"/>
          <w:marRight w:val="0"/>
          <w:marTop w:val="0"/>
          <w:marBottom w:val="0"/>
          <w:divBdr>
            <w:top w:val="none" w:sz="0" w:space="0" w:color="auto"/>
            <w:left w:val="none" w:sz="0" w:space="0" w:color="auto"/>
            <w:bottom w:val="none" w:sz="0" w:space="0" w:color="auto"/>
            <w:right w:val="none" w:sz="0" w:space="0" w:color="auto"/>
          </w:divBdr>
          <w:divsChild>
            <w:div w:id="486822819">
              <w:marLeft w:val="0"/>
              <w:marRight w:val="0"/>
              <w:marTop w:val="0"/>
              <w:marBottom w:val="0"/>
              <w:divBdr>
                <w:top w:val="none" w:sz="0" w:space="0" w:color="auto"/>
                <w:left w:val="none" w:sz="0" w:space="0" w:color="auto"/>
                <w:bottom w:val="none" w:sz="0" w:space="0" w:color="auto"/>
                <w:right w:val="none" w:sz="0" w:space="0" w:color="auto"/>
              </w:divBdr>
            </w:div>
          </w:divsChild>
        </w:div>
        <w:div w:id="1593657926">
          <w:marLeft w:val="0"/>
          <w:marRight w:val="0"/>
          <w:marTop w:val="0"/>
          <w:marBottom w:val="0"/>
          <w:divBdr>
            <w:top w:val="none" w:sz="0" w:space="0" w:color="auto"/>
            <w:left w:val="none" w:sz="0" w:space="0" w:color="auto"/>
            <w:bottom w:val="none" w:sz="0" w:space="0" w:color="auto"/>
            <w:right w:val="none" w:sz="0" w:space="0" w:color="auto"/>
          </w:divBdr>
          <w:divsChild>
            <w:div w:id="2057970282">
              <w:marLeft w:val="0"/>
              <w:marRight w:val="0"/>
              <w:marTop w:val="0"/>
              <w:marBottom w:val="0"/>
              <w:divBdr>
                <w:top w:val="none" w:sz="0" w:space="0" w:color="auto"/>
                <w:left w:val="none" w:sz="0" w:space="0" w:color="auto"/>
                <w:bottom w:val="none" w:sz="0" w:space="0" w:color="auto"/>
                <w:right w:val="none" w:sz="0" w:space="0" w:color="auto"/>
              </w:divBdr>
            </w:div>
          </w:divsChild>
        </w:div>
        <w:div w:id="54089545">
          <w:marLeft w:val="0"/>
          <w:marRight w:val="0"/>
          <w:marTop w:val="0"/>
          <w:marBottom w:val="0"/>
          <w:divBdr>
            <w:top w:val="none" w:sz="0" w:space="0" w:color="auto"/>
            <w:left w:val="none" w:sz="0" w:space="0" w:color="auto"/>
            <w:bottom w:val="none" w:sz="0" w:space="0" w:color="auto"/>
            <w:right w:val="none" w:sz="0" w:space="0" w:color="auto"/>
          </w:divBdr>
          <w:divsChild>
            <w:div w:id="139664119">
              <w:marLeft w:val="0"/>
              <w:marRight w:val="0"/>
              <w:marTop w:val="0"/>
              <w:marBottom w:val="0"/>
              <w:divBdr>
                <w:top w:val="none" w:sz="0" w:space="0" w:color="auto"/>
                <w:left w:val="none" w:sz="0" w:space="0" w:color="auto"/>
                <w:bottom w:val="none" w:sz="0" w:space="0" w:color="auto"/>
                <w:right w:val="none" w:sz="0" w:space="0" w:color="auto"/>
              </w:divBdr>
            </w:div>
          </w:divsChild>
        </w:div>
        <w:div w:id="921913826">
          <w:marLeft w:val="0"/>
          <w:marRight w:val="0"/>
          <w:marTop w:val="0"/>
          <w:marBottom w:val="0"/>
          <w:divBdr>
            <w:top w:val="none" w:sz="0" w:space="0" w:color="auto"/>
            <w:left w:val="none" w:sz="0" w:space="0" w:color="auto"/>
            <w:bottom w:val="none" w:sz="0" w:space="0" w:color="auto"/>
            <w:right w:val="none" w:sz="0" w:space="0" w:color="auto"/>
          </w:divBdr>
          <w:divsChild>
            <w:div w:id="549998852">
              <w:marLeft w:val="0"/>
              <w:marRight w:val="0"/>
              <w:marTop w:val="0"/>
              <w:marBottom w:val="0"/>
              <w:divBdr>
                <w:top w:val="none" w:sz="0" w:space="0" w:color="auto"/>
                <w:left w:val="none" w:sz="0" w:space="0" w:color="auto"/>
                <w:bottom w:val="none" w:sz="0" w:space="0" w:color="auto"/>
                <w:right w:val="none" w:sz="0" w:space="0" w:color="auto"/>
              </w:divBdr>
            </w:div>
          </w:divsChild>
        </w:div>
        <w:div w:id="719593361">
          <w:marLeft w:val="0"/>
          <w:marRight w:val="0"/>
          <w:marTop w:val="0"/>
          <w:marBottom w:val="0"/>
          <w:divBdr>
            <w:top w:val="none" w:sz="0" w:space="0" w:color="auto"/>
            <w:left w:val="none" w:sz="0" w:space="0" w:color="auto"/>
            <w:bottom w:val="none" w:sz="0" w:space="0" w:color="auto"/>
            <w:right w:val="none" w:sz="0" w:space="0" w:color="auto"/>
          </w:divBdr>
          <w:divsChild>
            <w:div w:id="154958891">
              <w:marLeft w:val="0"/>
              <w:marRight w:val="0"/>
              <w:marTop w:val="0"/>
              <w:marBottom w:val="0"/>
              <w:divBdr>
                <w:top w:val="none" w:sz="0" w:space="0" w:color="auto"/>
                <w:left w:val="none" w:sz="0" w:space="0" w:color="auto"/>
                <w:bottom w:val="none" w:sz="0" w:space="0" w:color="auto"/>
                <w:right w:val="none" w:sz="0" w:space="0" w:color="auto"/>
              </w:divBdr>
            </w:div>
          </w:divsChild>
        </w:div>
        <w:div w:id="444927584">
          <w:marLeft w:val="0"/>
          <w:marRight w:val="0"/>
          <w:marTop w:val="0"/>
          <w:marBottom w:val="0"/>
          <w:divBdr>
            <w:top w:val="none" w:sz="0" w:space="0" w:color="auto"/>
            <w:left w:val="none" w:sz="0" w:space="0" w:color="auto"/>
            <w:bottom w:val="none" w:sz="0" w:space="0" w:color="auto"/>
            <w:right w:val="none" w:sz="0" w:space="0" w:color="auto"/>
          </w:divBdr>
          <w:divsChild>
            <w:div w:id="498885039">
              <w:marLeft w:val="0"/>
              <w:marRight w:val="0"/>
              <w:marTop w:val="0"/>
              <w:marBottom w:val="0"/>
              <w:divBdr>
                <w:top w:val="none" w:sz="0" w:space="0" w:color="auto"/>
                <w:left w:val="none" w:sz="0" w:space="0" w:color="auto"/>
                <w:bottom w:val="none" w:sz="0" w:space="0" w:color="auto"/>
                <w:right w:val="none" w:sz="0" w:space="0" w:color="auto"/>
              </w:divBdr>
            </w:div>
          </w:divsChild>
        </w:div>
        <w:div w:id="127163218">
          <w:marLeft w:val="0"/>
          <w:marRight w:val="0"/>
          <w:marTop w:val="0"/>
          <w:marBottom w:val="0"/>
          <w:divBdr>
            <w:top w:val="none" w:sz="0" w:space="0" w:color="auto"/>
            <w:left w:val="none" w:sz="0" w:space="0" w:color="auto"/>
            <w:bottom w:val="none" w:sz="0" w:space="0" w:color="auto"/>
            <w:right w:val="none" w:sz="0" w:space="0" w:color="auto"/>
          </w:divBdr>
          <w:divsChild>
            <w:div w:id="39136566">
              <w:marLeft w:val="0"/>
              <w:marRight w:val="0"/>
              <w:marTop w:val="0"/>
              <w:marBottom w:val="0"/>
              <w:divBdr>
                <w:top w:val="none" w:sz="0" w:space="0" w:color="auto"/>
                <w:left w:val="none" w:sz="0" w:space="0" w:color="auto"/>
                <w:bottom w:val="none" w:sz="0" w:space="0" w:color="auto"/>
                <w:right w:val="none" w:sz="0" w:space="0" w:color="auto"/>
              </w:divBdr>
            </w:div>
          </w:divsChild>
        </w:div>
        <w:div w:id="868447243">
          <w:marLeft w:val="0"/>
          <w:marRight w:val="0"/>
          <w:marTop w:val="0"/>
          <w:marBottom w:val="0"/>
          <w:divBdr>
            <w:top w:val="none" w:sz="0" w:space="0" w:color="auto"/>
            <w:left w:val="none" w:sz="0" w:space="0" w:color="auto"/>
            <w:bottom w:val="none" w:sz="0" w:space="0" w:color="auto"/>
            <w:right w:val="none" w:sz="0" w:space="0" w:color="auto"/>
          </w:divBdr>
          <w:divsChild>
            <w:div w:id="1851526696">
              <w:marLeft w:val="0"/>
              <w:marRight w:val="0"/>
              <w:marTop w:val="0"/>
              <w:marBottom w:val="0"/>
              <w:divBdr>
                <w:top w:val="none" w:sz="0" w:space="0" w:color="auto"/>
                <w:left w:val="none" w:sz="0" w:space="0" w:color="auto"/>
                <w:bottom w:val="none" w:sz="0" w:space="0" w:color="auto"/>
                <w:right w:val="none" w:sz="0" w:space="0" w:color="auto"/>
              </w:divBdr>
            </w:div>
          </w:divsChild>
        </w:div>
        <w:div w:id="1807580914">
          <w:marLeft w:val="0"/>
          <w:marRight w:val="0"/>
          <w:marTop w:val="0"/>
          <w:marBottom w:val="0"/>
          <w:divBdr>
            <w:top w:val="none" w:sz="0" w:space="0" w:color="auto"/>
            <w:left w:val="none" w:sz="0" w:space="0" w:color="auto"/>
            <w:bottom w:val="none" w:sz="0" w:space="0" w:color="auto"/>
            <w:right w:val="none" w:sz="0" w:space="0" w:color="auto"/>
          </w:divBdr>
          <w:divsChild>
            <w:div w:id="2123957378">
              <w:marLeft w:val="0"/>
              <w:marRight w:val="0"/>
              <w:marTop w:val="0"/>
              <w:marBottom w:val="0"/>
              <w:divBdr>
                <w:top w:val="none" w:sz="0" w:space="0" w:color="auto"/>
                <w:left w:val="none" w:sz="0" w:space="0" w:color="auto"/>
                <w:bottom w:val="none" w:sz="0" w:space="0" w:color="auto"/>
                <w:right w:val="none" w:sz="0" w:space="0" w:color="auto"/>
              </w:divBdr>
            </w:div>
          </w:divsChild>
        </w:div>
        <w:div w:id="2085908173">
          <w:marLeft w:val="0"/>
          <w:marRight w:val="0"/>
          <w:marTop w:val="0"/>
          <w:marBottom w:val="0"/>
          <w:divBdr>
            <w:top w:val="none" w:sz="0" w:space="0" w:color="auto"/>
            <w:left w:val="none" w:sz="0" w:space="0" w:color="auto"/>
            <w:bottom w:val="none" w:sz="0" w:space="0" w:color="auto"/>
            <w:right w:val="none" w:sz="0" w:space="0" w:color="auto"/>
          </w:divBdr>
          <w:divsChild>
            <w:div w:id="1221285907">
              <w:marLeft w:val="0"/>
              <w:marRight w:val="0"/>
              <w:marTop w:val="0"/>
              <w:marBottom w:val="0"/>
              <w:divBdr>
                <w:top w:val="none" w:sz="0" w:space="0" w:color="auto"/>
                <w:left w:val="none" w:sz="0" w:space="0" w:color="auto"/>
                <w:bottom w:val="none" w:sz="0" w:space="0" w:color="auto"/>
                <w:right w:val="none" w:sz="0" w:space="0" w:color="auto"/>
              </w:divBdr>
            </w:div>
          </w:divsChild>
        </w:div>
        <w:div w:id="1894343807">
          <w:marLeft w:val="0"/>
          <w:marRight w:val="0"/>
          <w:marTop w:val="0"/>
          <w:marBottom w:val="0"/>
          <w:divBdr>
            <w:top w:val="none" w:sz="0" w:space="0" w:color="auto"/>
            <w:left w:val="none" w:sz="0" w:space="0" w:color="auto"/>
            <w:bottom w:val="none" w:sz="0" w:space="0" w:color="auto"/>
            <w:right w:val="none" w:sz="0" w:space="0" w:color="auto"/>
          </w:divBdr>
          <w:divsChild>
            <w:div w:id="1652051756">
              <w:marLeft w:val="0"/>
              <w:marRight w:val="0"/>
              <w:marTop w:val="0"/>
              <w:marBottom w:val="0"/>
              <w:divBdr>
                <w:top w:val="none" w:sz="0" w:space="0" w:color="auto"/>
                <w:left w:val="none" w:sz="0" w:space="0" w:color="auto"/>
                <w:bottom w:val="none" w:sz="0" w:space="0" w:color="auto"/>
                <w:right w:val="none" w:sz="0" w:space="0" w:color="auto"/>
              </w:divBdr>
            </w:div>
          </w:divsChild>
        </w:div>
        <w:div w:id="214852349">
          <w:marLeft w:val="0"/>
          <w:marRight w:val="0"/>
          <w:marTop w:val="0"/>
          <w:marBottom w:val="0"/>
          <w:divBdr>
            <w:top w:val="none" w:sz="0" w:space="0" w:color="auto"/>
            <w:left w:val="none" w:sz="0" w:space="0" w:color="auto"/>
            <w:bottom w:val="none" w:sz="0" w:space="0" w:color="auto"/>
            <w:right w:val="none" w:sz="0" w:space="0" w:color="auto"/>
          </w:divBdr>
          <w:divsChild>
            <w:div w:id="309869791">
              <w:marLeft w:val="0"/>
              <w:marRight w:val="0"/>
              <w:marTop w:val="0"/>
              <w:marBottom w:val="0"/>
              <w:divBdr>
                <w:top w:val="none" w:sz="0" w:space="0" w:color="auto"/>
                <w:left w:val="none" w:sz="0" w:space="0" w:color="auto"/>
                <w:bottom w:val="none" w:sz="0" w:space="0" w:color="auto"/>
                <w:right w:val="none" w:sz="0" w:space="0" w:color="auto"/>
              </w:divBdr>
            </w:div>
            <w:div w:id="1371343139">
              <w:marLeft w:val="0"/>
              <w:marRight w:val="0"/>
              <w:marTop w:val="0"/>
              <w:marBottom w:val="0"/>
              <w:divBdr>
                <w:top w:val="none" w:sz="0" w:space="0" w:color="auto"/>
                <w:left w:val="none" w:sz="0" w:space="0" w:color="auto"/>
                <w:bottom w:val="none" w:sz="0" w:space="0" w:color="auto"/>
                <w:right w:val="none" w:sz="0" w:space="0" w:color="auto"/>
              </w:divBdr>
            </w:div>
          </w:divsChild>
        </w:div>
        <w:div w:id="763308590">
          <w:marLeft w:val="0"/>
          <w:marRight w:val="0"/>
          <w:marTop w:val="0"/>
          <w:marBottom w:val="0"/>
          <w:divBdr>
            <w:top w:val="none" w:sz="0" w:space="0" w:color="auto"/>
            <w:left w:val="none" w:sz="0" w:space="0" w:color="auto"/>
            <w:bottom w:val="none" w:sz="0" w:space="0" w:color="auto"/>
            <w:right w:val="none" w:sz="0" w:space="0" w:color="auto"/>
          </w:divBdr>
          <w:divsChild>
            <w:div w:id="937636508">
              <w:marLeft w:val="0"/>
              <w:marRight w:val="0"/>
              <w:marTop w:val="0"/>
              <w:marBottom w:val="0"/>
              <w:divBdr>
                <w:top w:val="none" w:sz="0" w:space="0" w:color="auto"/>
                <w:left w:val="none" w:sz="0" w:space="0" w:color="auto"/>
                <w:bottom w:val="none" w:sz="0" w:space="0" w:color="auto"/>
                <w:right w:val="none" w:sz="0" w:space="0" w:color="auto"/>
              </w:divBdr>
            </w:div>
          </w:divsChild>
        </w:div>
        <w:div w:id="870071251">
          <w:marLeft w:val="0"/>
          <w:marRight w:val="0"/>
          <w:marTop w:val="0"/>
          <w:marBottom w:val="0"/>
          <w:divBdr>
            <w:top w:val="none" w:sz="0" w:space="0" w:color="auto"/>
            <w:left w:val="none" w:sz="0" w:space="0" w:color="auto"/>
            <w:bottom w:val="none" w:sz="0" w:space="0" w:color="auto"/>
            <w:right w:val="none" w:sz="0" w:space="0" w:color="auto"/>
          </w:divBdr>
          <w:divsChild>
            <w:div w:id="982925845">
              <w:marLeft w:val="0"/>
              <w:marRight w:val="0"/>
              <w:marTop w:val="0"/>
              <w:marBottom w:val="0"/>
              <w:divBdr>
                <w:top w:val="none" w:sz="0" w:space="0" w:color="auto"/>
                <w:left w:val="none" w:sz="0" w:space="0" w:color="auto"/>
                <w:bottom w:val="none" w:sz="0" w:space="0" w:color="auto"/>
                <w:right w:val="none" w:sz="0" w:space="0" w:color="auto"/>
              </w:divBdr>
            </w:div>
          </w:divsChild>
        </w:div>
        <w:div w:id="1451169867">
          <w:marLeft w:val="0"/>
          <w:marRight w:val="0"/>
          <w:marTop w:val="0"/>
          <w:marBottom w:val="0"/>
          <w:divBdr>
            <w:top w:val="none" w:sz="0" w:space="0" w:color="auto"/>
            <w:left w:val="none" w:sz="0" w:space="0" w:color="auto"/>
            <w:bottom w:val="none" w:sz="0" w:space="0" w:color="auto"/>
            <w:right w:val="none" w:sz="0" w:space="0" w:color="auto"/>
          </w:divBdr>
          <w:divsChild>
            <w:div w:id="797186732">
              <w:marLeft w:val="0"/>
              <w:marRight w:val="0"/>
              <w:marTop w:val="0"/>
              <w:marBottom w:val="0"/>
              <w:divBdr>
                <w:top w:val="none" w:sz="0" w:space="0" w:color="auto"/>
                <w:left w:val="none" w:sz="0" w:space="0" w:color="auto"/>
                <w:bottom w:val="none" w:sz="0" w:space="0" w:color="auto"/>
                <w:right w:val="none" w:sz="0" w:space="0" w:color="auto"/>
              </w:divBdr>
            </w:div>
          </w:divsChild>
        </w:div>
        <w:div w:id="1905876129">
          <w:marLeft w:val="0"/>
          <w:marRight w:val="0"/>
          <w:marTop w:val="0"/>
          <w:marBottom w:val="0"/>
          <w:divBdr>
            <w:top w:val="none" w:sz="0" w:space="0" w:color="auto"/>
            <w:left w:val="none" w:sz="0" w:space="0" w:color="auto"/>
            <w:bottom w:val="none" w:sz="0" w:space="0" w:color="auto"/>
            <w:right w:val="none" w:sz="0" w:space="0" w:color="auto"/>
          </w:divBdr>
          <w:divsChild>
            <w:div w:id="163478590">
              <w:marLeft w:val="0"/>
              <w:marRight w:val="0"/>
              <w:marTop w:val="0"/>
              <w:marBottom w:val="0"/>
              <w:divBdr>
                <w:top w:val="none" w:sz="0" w:space="0" w:color="auto"/>
                <w:left w:val="none" w:sz="0" w:space="0" w:color="auto"/>
                <w:bottom w:val="none" w:sz="0" w:space="0" w:color="auto"/>
                <w:right w:val="none" w:sz="0" w:space="0" w:color="auto"/>
              </w:divBdr>
            </w:div>
          </w:divsChild>
        </w:div>
        <w:div w:id="1528910168">
          <w:marLeft w:val="0"/>
          <w:marRight w:val="0"/>
          <w:marTop w:val="0"/>
          <w:marBottom w:val="0"/>
          <w:divBdr>
            <w:top w:val="none" w:sz="0" w:space="0" w:color="auto"/>
            <w:left w:val="none" w:sz="0" w:space="0" w:color="auto"/>
            <w:bottom w:val="none" w:sz="0" w:space="0" w:color="auto"/>
            <w:right w:val="none" w:sz="0" w:space="0" w:color="auto"/>
          </w:divBdr>
          <w:divsChild>
            <w:div w:id="1025668700">
              <w:marLeft w:val="0"/>
              <w:marRight w:val="0"/>
              <w:marTop w:val="0"/>
              <w:marBottom w:val="0"/>
              <w:divBdr>
                <w:top w:val="none" w:sz="0" w:space="0" w:color="auto"/>
                <w:left w:val="none" w:sz="0" w:space="0" w:color="auto"/>
                <w:bottom w:val="none" w:sz="0" w:space="0" w:color="auto"/>
                <w:right w:val="none" w:sz="0" w:space="0" w:color="auto"/>
              </w:divBdr>
            </w:div>
          </w:divsChild>
        </w:div>
        <w:div w:id="1873301928">
          <w:marLeft w:val="0"/>
          <w:marRight w:val="0"/>
          <w:marTop w:val="0"/>
          <w:marBottom w:val="0"/>
          <w:divBdr>
            <w:top w:val="none" w:sz="0" w:space="0" w:color="auto"/>
            <w:left w:val="none" w:sz="0" w:space="0" w:color="auto"/>
            <w:bottom w:val="none" w:sz="0" w:space="0" w:color="auto"/>
            <w:right w:val="none" w:sz="0" w:space="0" w:color="auto"/>
          </w:divBdr>
          <w:divsChild>
            <w:div w:id="928611857">
              <w:marLeft w:val="0"/>
              <w:marRight w:val="0"/>
              <w:marTop w:val="0"/>
              <w:marBottom w:val="0"/>
              <w:divBdr>
                <w:top w:val="none" w:sz="0" w:space="0" w:color="auto"/>
                <w:left w:val="none" w:sz="0" w:space="0" w:color="auto"/>
                <w:bottom w:val="none" w:sz="0" w:space="0" w:color="auto"/>
                <w:right w:val="none" w:sz="0" w:space="0" w:color="auto"/>
              </w:divBdr>
            </w:div>
          </w:divsChild>
        </w:div>
        <w:div w:id="288705466">
          <w:marLeft w:val="0"/>
          <w:marRight w:val="0"/>
          <w:marTop w:val="0"/>
          <w:marBottom w:val="0"/>
          <w:divBdr>
            <w:top w:val="none" w:sz="0" w:space="0" w:color="auto"/>
            <w:left w:val="none" w:sz="0" w:space="0" w:color="auto"/>
            <w:bottom w:val="none" w:sz="0" w:space="0" w:color="auto"/>
            <w:right w:val="none" w:sz="0" w:space="0" w:color="auto"/>
          </w:divBdr>
          <w:divsChild>
            <w:div w:id="706494018">
              <w:marLeft w:val="0"/>
              <w:marRight w:val="0"/>
              <w:marTop w:val="0"/>
              <w:marBottom w:val="0"/>
              <w:divBdr>
                <w:top w:val="none" w:sz="0" w:space="0" w:color="auto"/>
                <w:left w:val="none" w:sz="0" w:space="0" w:color="auto"/>
                <w:bottom w:val="none" w:sz="0" w:space="0" w:color="auto"/>
                <w:right w:val="none" w:sz="0" w:space="0" w:color="auto"/>
              </w:divBdr>
            </w:div>
          </w:divsChild>
        </w:div>
        <w:div w:id="709063967">
          <w:marLeft w:val="0"/>
          <w:marRight w:val="0"/>
          <w:marTop w:val="0"/>
          <w:marBottom w:val="0"/>
          <w:divBdr>
            <w:top w:val="none" w:sz="0" w:space="0" w:color="auto"/>
            <w:left w:val="none" w:sz="0" w:space="0" w:color="auto"/>
            <w:bottom w:val="none" w:sz="0" w:space="0" w:color="auto"/>
            <w:right w:val="none" w:sz="0" w:space="0" w:color="auto"/>
          </w:divBdr>
          <w:divsChild>
            <w:div w:id="1211649838">
              <w:marLeft w:val="0"/>
              <w:marRight w:val="0"/>
              <w:marTop w:val="0"/>
              <w:marBottom w:val="0"/>
              <w:divBdr>
                <w:top w:val="none" w:sz="0" w:space="0" w:color="auto"/>
                <w:left w:val="none" w:sz="0" w:space="0" w:color="auto"/>
                <w:bottom w:val="none" w:sz="0" w:space="0" w:color="auto"/>
                <w:right w:val="none" w:sz="0" w:space="0" w:color="auto"/>
              </w:divBdr>
            </w:div>
          </w:divsChild>
        </w:div>
        <w:div w:id="1636259494">
          <w:marLeft w:val="0"/>
          <w:marRight w:val="0"/>
          <w:marTop w:val="0"/>
          <w:marBottom w:val="0"/>
          <w:divBdr>
            <w:top w:val="none" w:sz="0" w:space="0" w:color="auto"/>
            <w:left w:val="none" w:sz="0" w:space="0" w:color="auto"/>
            <w:bottom w:val="none" w:sz="0" w:space="0" w:color="auto"/>
            <w:right w:val="none" w:sz="0" w:space="0" w:color="auto"/>
          </w:divBdr>
          <w:divsChild>
            <w:div w:id="1424495263">
              <w:marLeft w:val="0"/>
              <w:marRight w:val="0"/>
              <w:marTop w:val="0"/>
              <w:marBottom w:val="0"/>
              <w:divBdr>
                <w:top w:val="none" w:sz="0" w:space="0" w:color="auto"/>
                <w:left w:val="none" w:sz="0" w:space="0" w:color="auto"/>
                <w:bottom w:val="none" w:sz="0" w:space="0" w:color="auto"/>
                <w:right w:val="none" w:sz="0" w:space="0" w:color="auto"/>
              </w:divBdr>
            </w:div>
          </w:divsChild>
        </w:div>
        <w:div w:id="973369330">
          <w:marLeft w:val="0"/>
          <w:marRight w:val="0"/>
          <w:marTop w:val="0"/>
          <w:marBottom w:val="0"/>
          <w:divBdr>
            <w:top w:val="none" w:sz="0" w:space="0" w:color="auto"/>
            <w:left w:val="none" w:sz="0" w:space="0" w:color="auto"/>
            <w:bottom w:val="none" w:sz="0" w:space="0" w:color="auto"/>
            <w:right w:val="none" w:sz="0" w:space="0" w:color="auto"/>
          </w:divBdr>
          <w:divsChild>
            <w:div w:id="869956888">
              <w:marLeft w:val="0"/>
              <w:marRight w:val="0"/>
              <w:marTop w:val="0"/>
              <w:marBottom w:val="0"/>
              <w:divBdr>
                <w:top w:val="none" w:sz="0" w:space="0" w:color="auto"/>
                <w:left w:val="none" w:sz="0" w:space="0" w:color="auto"/>
                <w:bottom w:val="none" w:sz="0" w:space="0" w:color="auto"/>
                <w:right w:val="none" w:sz="0" w:space="0" w:color="auto"/>
              </w:divBdr>
            </w:div>
          </w:divsChild>
        </w:div>
        <w:div w:id="1877814056">
          <w:marLeft w:val="0"/>
          <w:marRight w:val="0"/>
          <w:marTop w:val="0"/>
          <w:marBottom w:val="0"/>
          <w:divBdr>
            <w:top w:val="none" w:sz="0" w:space="0" w:color="auto"/>
            <w:left w:val="none" w:sz="0" w:space="0" w:color="auto"/>
            <w:bottom w:val="none" w:sz="0" w:space="0" w:color="auto"/>
            <w:right w:val="none" w:sz="0" w:space="0" w:color="auto"/>
          </w:divBdr>
          <w:divsChild>
            <w:div w:id="1061560101">
              <w:marLeft w:val="0"/>
              <w:marRight w:val="0"/>
              <w:marTop w:val="0"/>
              <w:marBottom w:val="0"/>
              <w:divBdr>
                <w:top w:val="none" w:sz="0" w:space="0" w:color="auto"/>
                <w:left w:val="none" w:sz="0" w:space="0" w:color="auto"/>
                <w:bottom w:val="none" w:sz="0" w:space="0" w:color="auto"/>
                <w:right w:val="none" w:sz="0" w:space="0" w:color="auto"/>
              </w:divBdr>
            </w:div>
          </w:divsChild>
        </w:div>
        <w:div w:id="1047022964">
          <w:marLeft w:val="0"/>
          <w:marRight w:val="0"/>
          <w:marTop w:val="0"/>
          <w:marBottom w:val="0"/>
          <w:divBdr>
            <w:top w:val="none" w:sz="0" w:space="0" w:color="auto"/>
            <w:left w:val="none" w:sz="0" w:space="0" w:color="auto"/>
            <w:bottom w:val="none" w:sz="0" w:space="0" w:color="auto"/>
            <w:right w:val="none" w:sz="0" w:space="0" w:color="auto"/>
          </w:divBdr>
          <w:divsChild>
            <w:div w:id="600990255">
              <w:marLeft w:val="0"/>
              <w:marRight w:val="0"/>
              <w:marTop w:val="0"/>
              <w:marBottom w:val="0"/>
              <w:divBdr>
                <w:top w:val="none" w:sz="0" w:space="0" w:color="auto"/>
                <w:left w:val="none" w:sz="0" w:space="0" w:color="auto"/>
                <w:bottom w:val="none" w:sz="0" w:space="0" w:color="auto"/>
                <w:right w:val="none" w:sz="0" w:space="0" w:color="auto"/>
              </w:divBdr>
            </w:div>
          </w:divsChild>
        </w:div>
        <w:div w:id="1003892478">
          <w:marLeft w:val="0"/>
          <w:marRight w:val="0"/>
          <w:marTop w:val="0"/>
          <w:marBottom w:val="0"/>
          <w:divBdr>
            <w:top w:val="none" w:sz="0" w:space="0" w:color="auto"/>
            <w:left w:val="none" w:sz="0" w:space="0" w:color="auto"/>
            <w:bottom w:val="none" w:sz="0" w:space="0" w:color="auto"/>
            <w:right w:val="none" w:sz="0" w:space="0" w:color="auto"/>
          </w:divBdr>
          <w:divsChild>
            <w:div w:id="178471035">
              <w:marLeft w:val="0"/>
              <w:marRight w:val="0"/>
              <w:marTop w:val="0"/>
              <w:marBottom w:val="0"/>
              <w:divBdr>
                <w:top w:val="none" w:sz="0" w:space="0" w:color="auto"/>
                <w:left w:val="none" w:sz="0" w:space="0" w:color="auto"/>
                <w:bottom w:val="none" w:sz="0" w:space="0" w:color="auto"/>
                <w:right w:val="none" w:sz="0" w:space="0" w:color="auto"/>
              </w:divBdr>
            </w:div>
            <w:div w:id="1239554755">
              <w:marLeft w:val="0"/>
              <w:marRight w:val="0"/>
              <w:marTop w:val="0"/>
              <w:marBottom w:val="0"/>
              <w:divBdr>
                <w:top w:val="none" w:sz="0" w:space="0" w:color="auto"/>
                <w:left w:val="none" w:sz="0" w:space="0" w:color="auto"/>
                <w:bottom w:val="none" w:sz="0" w:space="0" w:color="auto"/>
                <w:right w:val="none" w:sz="0" w:space="0" w:color="auto"/>
              </w:divBdr>
            </w:div>
          </w:divsChild>
        </w:div>
        <w:div w:id="475925022">
          <w:marLeft w:val="0"/>
          <w:marRight w:val="0"/>
          <w:marTop w:val="0"/>
          <w:marBottom w:val="0"/>
          <w:divBdr>
            <w:top w:val="none" w:sz="0" w:space="0" w:color="auto"/>
            <w:left w:val="none" w:sz="0" w:space="0" w:color="auto"/>
            <w:bottom w:val="none" w:sz="0" w:space="0" w:color="auto"/>
            <w:right w:val="none" w:sz="0" w:space="0" w:color="auto"/>
          </w:divBdr>
          <w:divsChild>
            <w:div w:id="1768576667">
              <w:marLeft w:val="0"/>
              <w:marRight w:val="0"/>
              <w:marTop w:val="0"/>
              <w:marBottom w:val="0"/>
              <w:divBdr>
                <w:top w:val="none" w:sz="0" w:space="0" w:color="auto"/>
                <w:left w:val="none" w:sz="0" w:space="0" w:color="auto"/>
                <w:bottom w:val="none" w:sz="0" w:space="0" w:color="auto"/>
                <w:right w:val="none" w:sz="0" w:space="0" w:color="auto"/>
              </w:divBdr>
            </w:div>
          </w:divsChild>
        </w:div>
        <w:div w:id="962618126">
          <w:marLeft w:val="0"/>
          <w:marRight w:val="0"/>
          <w:marTop w:val="0"/>
          <w:marBottom w:val="0"/>
          <w:divBdr>
            <w:top w:val="none" w:sz="0" w:space="0" w:color="auto"/>
            <w:left w:val="none" w:sz="0" w:space="0" w:color="auto"/>
            <w:bottom w:val="none" w:sz="0" w:space="0" w:color="auto"/>
            <w:right w:val="none" w:sz="0" w:space="0" w:color="auto"/>
          </w:divBdr>
          <w:divsChild>
            <w:div w:id="810634450">
              <w:marLeft w:val="0"/>
              <w:marRight w:val="0"/>
              <w:marTop w:val="0"/>
              <w:marBottom w:val="0"/>
              <w:divBdr>
                <w:top w:val="none" w:sz="0" w:space="0" w:color="auto"/>
                <w:left w:val="none" w:sz="0" w:space="0" w:color="auto"/>
                <w:bottom w:val="none" w:sz="0" w:space="0" w:color="auto"/>
                <w:right w:val="none" w:sz="0" w:space="0" w:color="auto"/>
              </w:divBdr>
            </w:div>
          </w:divsChild>
        </w:div>
        <w:div w:id="1722436715">
          <w:marLeft w:val="0"/>
          <w:marRight w:val="0"/>
          <w:marTop w:val="0"/>
          <w:marBottom w:val="0"/>
          <w:divBdr>
            <w:top w:val="none" w:sz="0" w:space="0" w:color="auto"/>
            <w:left w:val="none" w:sz="0" w:space="0" w:color="auto"/>
            <w:bottom w:val="none" w:sz="0" w:space="0" w:color="auto"/>
            <w:right w:val="none" w:sz="0" w:space="0" w:color="auto"/>
          </w:divBdr>
          <w:divsChild>
            <w:div w:id="798033773">
              <w:marLeft w:val="0"/>
              <w:marRight w:val="0"/>
              <w:marTop w:val="0"/>
              <w:marBottom w:val="0"/>
              <w:divBdr>
                <w:top w:val="none" w:sz="0" w:space="0" w:color="auto"/>
                <w:left w:val="none" w:sz="0" w:space="0" w:color="auto"/>
                <w:bottom w:val="none" w:sz="0" w:space="0" w:color="auto"/>
                <w:right w:val="none" w:sz="0" w:space="0" w:color="auto"/>
              </w:divBdr>
            </w:div>
          </w:divsChild>
        </w:div>
        <w:div w:id="1211763260">
          <w:marLeft w:val="0"/>
          <w:marRight w:val="0"/>
          <w:marTop w:val="0"/>
          <w:marBottom w:val="0"/>
          <w:divBdr>
            <w:top w:val="none" w:sz="0" w:space="0" w:color="auto"/>
            <w:left w:val="none" w:sz="0" w:space="0" w:color="auto"/>
            <w:bottom w:val="none" w:sz="0" w:space="0" w:color="auto"/>
            <w:right w:val="none" w:sz="0" w:space="0" w:color="auto"/>
          </w:divBdr>
          <w:divsChild>
            <w:div w:id="1096635093">
              <w:marLeft w:val="0"/>
              <w:marRight w:val="0"/>
              <w:marTop w:val="0"/>
              <w:marBottom w:val="0"/>
              <w:divBdr>
                <w:top w:val="none" w:sz="0" w:space="0" w:color="auto"/>
                <w:left w:val="none" w:sz="0" w:space="0" w:color="auto"/>
                <w:bottom w:val="none" w:sz="0" w:space="0" w:color="auto"/>
                <w:right w:val="none" w:sz="0" w:space="0" w:color="auto"/>
              </w:divBdr>
            </w:div>
          </w:divsChild>
        </w:div>
        <w:div w:id="1373964761">
          <w:marLeft w:val="0"/>
          <w:marRight w:val="0"/>
          <w:marTop w:val="0"/>
          <w:marBottom w:val="0"/>
          <w:divBdr>
            <w:top w:val="none" w:sz="0" w:space="0" w:color="auto"/>
            <w:left w:val="none" w:sz="0" w:space="0" w:color="auto"/>
            <w:bottom w:val="none" w:sz="0" w:space="0" w:color="auto"/>
            <w:right w:val="none" w:sz="0" w:space="0" w:color="auto"/>
          </w:divBdr>
          <w:divsChild>
            <w:div w:id="960307781">
              <w:marLeft w:val="0"/>
              <w:marRight w:val="0"/>
              <w:marTop w:val="0"/>
              <w:marBottom w:val="0"/>
              <w:divBdr>
                <w:top w:val="none" w:sz="0" w:space="0" w:color="auto"/>
                <w:left w:val="none" w:sz="0" w:space="0" w:color="auto"/>
                <w:bottom w:val="none" w:sz="0" w:space="0" w:color="auto"/>
                <w:right w:val="none" w:sz="0" w:space="0" w:color="auto"/>
              </w:divBdr>
            </w:div>
          </w:divsChild>
        </w:div>
        <w:div w:id="2587573">
          <w:marLeft w:val="0"/>
          <w:marRight w:val="0"/>
          <w:marTop w:val="0"/>
          <w:marBottom w:val="0"/>
          <w:divBdr>
            <w:top w:val="none" w:sz="0" w:space="0" w:color="auto"/>
            <w:left w:val="none" w:sz="0" w:space="0" w:color="auto"/>
            <w:bottom w:val="none" w:sz="0" w:space="0" w:color="auto"/>
            <w:right w:val="none" w:sz="0" w:space="0" w:color="auto"/>
          </w:divBdr>
          <w:divsChild>
            <w:div w:id="1646812131">
              <w:marLeft w:val="0"/>
              <w:marRight w:val="0"/>
              <w:marTop w:val="0"/>
              <w:marBottom w:val="0"/>
              <w:divBdr>
                <w:top w:val="none" w:sz="0" w:space="0" w:color="auto"/>
                <w:left w:val="none" w:sz="0" w:space="0" w:color="auto"/>
                <w:bottom w:val="none" w:sz="0" w:space="0" w:color="auto"/>
                <w:right w:val="none" w:sz="0" w:space="0" w:color="auto"/>
              </w:divBdr>
            </w:div>
            <w:div w:id="1130561729">
              <w:marLeft w:val="0"/>
              <w:marRight w:val="0"/>
              <w:marTop w:val="0"/>
              <w:marBottom w:val="0"/>
              <w:divBdr>
                <w:top w:val="none" w:sz="0" w:space="0" w:color="auto"/>
                <w:left w:val="none" w:sz="0" w:space="0" w:color="auto"/>
                <w:bottom w:val="none" w:sz="0" w:space="0" w:color="auto"/>
                <w:right w:val="none" w:sz="0" w:space="0" w:color="auto"/>
              </w:divBdr>
            </w:div>
          </w:divsChild>
        </w:div>
        <w:div w:id="883248799">
          <w:marLeft w:val="0"/>
          <w:marRight w:val="0"/>
          <w:marTop w:val="0"/>
          <w:marBottom w:val="0"/>
          <w:divBdr>
            <w:top w:val="none" w:sz="0" w:space="0" w:color="auto"/>
            <w:left w:val="none" w:sz="0" w:space="0" w:color="auto"/>
            <w:bottom w:val="none" w:sz="0" w:space="0" w:color="auto"/>
            <w:right w:val="none" w:sz="0" w:space="0" w:color="auto"/>
          </w:divBdr>
          <w:divsChild>
            <w:div w:id="201985997">
              <w:marLeft w:val="0"/>
              <w:marRight w:val="0"/>
              <w:marTop w:val="0"/>
              <w:marBottom w:val="0"/>
              <w:divBdr>
                <w:top w:val="none" w:sz="0" w:space="0" w:color="auto"/>
                <w:left w:val="none" w:sz="0" w:space="0" w:color="auto"/>
                <w:bottom w:val="none" w:sz="0" w:space="0" w:color="auto"/>
                <w:right w:val="none" w:sz="0" w:space="0" w:color="auto"/>
              </w:divBdr>
            </w:div>
            <w:div w:id="760874903">
              <w:marLeft w:val="0"/>
              <w:marRight w:val="0"/>
              <w:marTop w:val="0"/>
              <w:marBottom w:val="0"/>
              <w:divBdr>
                <w:top w:val="none" w:sz="0" w:space="0" w:color="auto"/>
                <w:left w:val="none" w:sz="0" w:space="0" w:color="auto"/>
                <w:bottom w:val="none" w:sz="0" w:space="0" w:color="auto"/>
                <w:right w:val="none" w:sz="0" w:space="0" w:color="auto"/>
              </w:divBdr>
            </w:div>
          </w:divsChild>
        </w:div>
        <w:div w:id="158808570">
          <w:marLeft w:val="0"/>
          <w:marRight w:val="0"/>
          <w:marTop w:val="0"/>
          <w:marBottom w:val="0"/>
          <w:divBdr>
            <w:top w:val="none" w:sz="0" w:space="0" w:color="auto"/>
            <w:left w:val="none" w:sz="0" w:space="0" w:color="auto"/>
            <w:bottom w:val="none" w:sz="0" w:space="0" w:color="auto"/>
            <w:right w:val="none" w:sz="0" w:space="0" w:color="auto"/>
          </w:divBdr>
          <w:divsChild>
            <w:div w:id="1182013782">
              <w:marLeft w:val="0"/>
              <w:marRight w:val="0"/>
              <w:marTop w:val="0"/>
              <w:marBottom w:val="0"/>
              <w:divBdr>
                <w:top w:val="none" w:sz="0" w:space="0" w:color="auto"/>
                <w:left w:val="none" w:sz="0" w:space="0" w:color="auto"/>
                <w:bottom w:val="none" w:sz="0" w:space="0" w:color="auto"/>
                <w:right w:val="none" w:sz="0" w:space="0" w:color="auto"/>
              </w:divBdr>
            </w:div>
          </w:divsChild>
        </w:div>
        <w:div w:id="332267584">
          <w:marLeft w:val="0"/>
          <w:marRight w:val="0"/>
          <w:marTop w:val="0"/>
          <w:marBottom w:val="0"/>
          <w:divBdr>
            <w:top w:val="none" w:sz="0" w:space="0" w:color="auto"/>
            <w:left w:val="none" w:sz="0" w:space="0" w:color="auto"/>
            <w:bottom w:val="none" w:sz="0" w:space="0" w:color="auto"/>
            <w:right w:val="none" w:sz="0" w:space="0" w:color="auto"/>
          </w:divBdr>
          <w:divsChild>
            <w:div w:id="1112286625">
              <w:marLeft w:val="0"/>
              <w:marRight w:val="0"/>
              <w:marTop w:val="0"/>
              <w:marBottom w:val="0"/>
              <w:divBdr>
                <w:top w:val="none" w:sz="0" w:space="0" w:color="auto"/>
                <w:left w:val="none" w:sz="0" w:space="0" w:color="auto"/>
                <w:bottom w:val="none" w:sz="0" w:space="0" w:color="auto"/>
                <w:right w:val="none" w:sz="0" w:space="0" w:color="auto"/>
              </w:divBdr>
            </w:div>
          </w:divsChild>
        </w:div>
        <w:div w:id="134026430">
          <w:marLeft w:val="0"/>
          <w:marRight w:val="0"/>
          <w:marTop w:val="0"/>
          <w:marBottom w:val="0"/>
          <w:divBdr>
            <w:top w:val="none" w:sz="0" w:space="0" w:color="auto"/>
            <w:left w:val="none" w:sz="0" w:space="0" w:color="auto"/>
            <w:bottom w:val="none" w:sz="0" w:space="0" w:color="auto"/>
            <w:right w:val="none" w:sz="0" w:space="0" w:color="auto"/>
          </w:divBdr>
          <w:divsChild>
            <w:div w:id="57305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150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1573</Words>
  <Characters>8971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clark, tracey</cp:lastModifiedBy>
  <cp:revision>2</cp:revision>
  <cp:lastPrinted>2014-09-18T05:26:00Z</cp:lastPrinted>
  <dcterms:created xsi:type="dcterms:W3CDTF">2026-10-16T09:13:00Z</dcterms:created>
  <dcterms:modified xsi:type="dcterms:W3CDTF">2026-10-16T09:13:00Z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