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9"/>
        <w:gridCol w:w="2259"/>
        <w:gridCol w:w="2297"/>
        <w:gridCol w:w="2184"/>
      </w:tblGrid>
      <w:tr w:rsidR="004E2EB3" w:rsidRPr="00F86284" w14:paraId="5BED0134" w14:textId="77777777" w:rsidTr="000742EE">
        <w:trPr>
          <w:trHeight w:val="258"/>
        </w:trPr>
        <w:tc>
          <w:tcPr>
            <w:tcW w:w="15773" w:type="dxa"/>
            <w:gridSpan w:val="7"/>
            <w:shd w:val="clear" w:color="auto" w:fill="FF552D"/>
          </w:tcPr>
          <w:p w14:paraId="445A6BF9" w14:textId="77777777" w:rsidR="004E2EB3" w:rsidRPr="00F86284" w:rsidRDefault="004E2EB3" w:rsidP="000742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Maths at </w:t>
            </w:r>
            <w:proofErr w:type="spellStart"/>
            <w:r>
              <w:rPr>
                <w:b/>
                <w:bCs/>
              </w:rPr>
              <w:t>Bowerham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E2EB3" w:rsidRPr="00F86284" w14:paraId="68CD495A" w14:textId="77777777" w:rsidTr="000742EE">
        <w:trPr>
          <w:trHeight w:val="162"/>
        </w:trPr>
        <w:tc>
          <w:tcPr>
            <w:tcW w:w="15773" w:type="dxa"/>
            <w:gridSpan w:val="7"/>
            <w:shd w:val="clear" w:color="auto" w:fill="FF552D"/>
          </w:tcPr>
          <w:p w14:paraId="2E540840" w14:textId="77777777" w:rsidR="004E2EB3" w:rsidRPr="006655F2" w:rsidRDefault="004E2EB3" w:rsidP="000742EE">
            <w:r w:rsidRPr="006655F2">
              <w:t>Units of Maths (provisional – these may be subject to change)</w:t>
            </w:r>
          </w:p>
        </w:tc>
      </w:tr>
      <w:tr w:rsidR="004E2EB3" w:rsidRPr="00F86284" w14:paraId="6025B258" w14:textId="77777777" w:rsidTr="000742EE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2683F430" w14:textId="77777777" w:rsidR="004E2EB3" w:rsidRPr="006655F2" w:rsidRDefault="004E2EB3" w:rsidP="000742EE">
            <w:pPr>
              <w:jc w:val="center"/>
            </w:pPr>
          </w:p>
        </w:tc>
        <w:tc>
          <w:tcPr>
            <w:tcW w:w="2258" w:type="dxa"/>
            <w:shd w:val="clear" w:color="auto" w:fill="FFC000" w:themeFill="accent4"/>
          </w:tcPr>
          <w:p w14:paraId="2F3B9DE5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Autumn 1</w:t>
            </w:r>
          </w:p>
        </w:tc>
        <w:tc>
          <w:tcPr>
            <w:tcW w:w="2258" w:type="dxa"/>
            <w:shd w:val="clear" w:color="auto" w:fill="FFC000" w:themeFill="accent4"/>
          </w:tcPr>
          <w:p w14:paraId="1D252679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Autumn 2 </w:t>
            </w:r>
          </w:p>
        </w:tc>
        <w:tc>
          <w:tcPr>
            <w:tcW w:w="2259" w:type="dxa"/>
            <w:shd w:val="clear" w:color="auto" w:fill="92D050"/>
          </w:tcPr>
          <w:p w14:paraId="35419FFD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 Spring 1 </w:t>
            </w:r>
          </w:p>
        </w:tc>
        <w:tc>
          <w:tcPr>
            <w:tcW w:w="2259" w:type="dxa"/>
            <w:shd w:val="clear" w:color="auto" w:fill="92D050"/>
          </w:tcPr>
          <w:p w14:paraId="31A370F2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Spring 2 </w:t>
            </w:r>
          </w:p>
        </w:tc>
        <w:tc>
          <w:tcPr>
            <w:tcW w:w="2297" w:type="dxa"/>
            <w:shd w:val="clear" w:color="auto" w:fill="FFFF00"/>
          </w:tcPr>
          <w:p w14:paraId="6630CB0E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>Summer 1</w:t>
            </w:r>
          </w:p>
        </w:tc>
        <w:tc>
          <w:tcPr>
            <w:tcW w:w="2184" w:type="dxa"/>
            <w:shd w:val="clear" w:color="auto" w:fill="FFFF00"/>
          </w:tcPr>
          <w:p w14:paraId="78EABB70" w14:textId="77777777" w:rsidR="004E2EB3" w:rsidRPr="006655F2" w:rsidRDefault="004E2EB3" w:rsidP="000742EE">
            <w:pPr>
              <w:jc w:val="center"/>
              <w:rPr>
                <w:b/>
                <w:bCs/>
              </w:rPr>
            </w:pPr>
            <w:r w:rsidRPr="006655F2">
              <w:rPr>
                <w:b/>
                <w:bCs/>
              </w:rPr>
              <w:t xml:space="preserve">Summer 2 </w:t>
            </w:r>
          </w:p>
        </w:tc>
      </w:tr>
      <w:tr w:rsidR="004E2EB3" w:rsidRPr="001B0518" w14:paraId="0A05E212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137C126" w14:textId="77777777" w:rsidR="004E2EB3" w:rsidRPr="006655F2" w:rsidRDefault="004E2EB3" w:rsidP="000742EE">
            <w:r w:rsidRPr="006655F2">
              <w:t>Week 1</w:t>
            </w:r>
          </w:p>
        </w:tc>
        <w:tc>
          <w:tcPr>
            <w:tcW w:w="2258" w:type="dxa"/>
            <w:vMerge w:val="restart"/>
          </w:tcPr>
          <w:p w14:paraId="72F986D9" w14:textId="77777777" w:rsidR="004E2EB3" w:rsidRPr="006655F2" w:rsidRDefault="004E2EB3" w:rsidP="000742EE">
            <w:r w:rsidRPr="006655F2">
              <w:t>Place Valu</w:t>
            </w:r>
            <w:r>
              <w:t xml:space="preserve">e, addition and subtraction </w:t>
            </w:r>
            <w:r w:rsidRPr="006655F2">
              <w:t xml:space="preserve"> </w:t>
            </w:r>
          </w:p>
        </w:tc>
        <w:tc>
          <w:tcPr>
            <w:tcW w:w="2258" w:type="dxa"/>
            <w:vMerge w:val="restart"/>
            <w:shd w:val="clear" w:color="auto" w:fill="auto"/>
          </w:tcPr>
          <w:p w14:paraId="69B72DF0" w14:textId="77777777" w:rsidR="004E2EB3" w:rsidRPr="006655F2" w:rsidRDefault="004E2EB3" w:rsidP="000742EE">
            <w:r>
              <w:t xml:space="preserve">Multiplication 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336A3AD0" w14:textId="77777777" w:rsidR="004E2EB3" w:rsidRPr="006655F2" w:rsidRDefault="004E2EB3" w:rsidP="000742EE">
            <w:r w:rsidRPr="006655F2">
              <w:t>Place Valu</w:t>
            </w:r>
            <w:r>
              <w:t>e</w:t>
            </w:r>
            <w:r w:rsidRPr="006655F2"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0D5F0340" w14:textId="77777777" w:rsidR="004E2EB3" w:rsidRPr="006655F2" w:rsidRDefault="004E2EB3" w:rsidP="000742EE">
            <w:r>
              <w:t>Addition and subtraction and money</w:t>
            </w:r>
          </w:p>
        </w:tc>
        <w:tc>
          <w:tcPr>
            <w:tcW w:w="2297" w:type="dxa"/>
            <w:shd w:val="clear" w:color="auto" w:fill="auto"/>
          </w:tcPr>
          <w:p w14:paraId="110C5EE2" w14:textId="77777777" w:rsidR="004E2EB3" w:rsidRPr="006655F2" w:rsidRDefault="004E2EB3" w:rsidP="000742EE">
            <w:r>
              <w:t xml:space="preserve">Place Value 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22A0B329" w14:textId="77777777" w:rsidR="004E2EB3" w:rsidRPr="006655F2" w:rsidRDefault="004E2EB3" w:rsidP="000742EE">
            <w:r>
              <w:t xml:space="preserve">Fractions </w:t>
            </w:r>
          </w:p>
        </w:tc>
      </w:tr>
      <w:tr w:rsidR="004E2EB3" w:rsidRPr="001B0518" w14:paraId="61DA8F40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1EBE8C88" w14:textId="77777777" w:rsidR="004E2EB3" w:rsidRPr="006655F2" w:rsidRDefault="004E2EB3" w:rsidP="000742EE">
            <w:r w:rsidRPr="006655F2">
              <w:t>Week 2</w:t>
            </w:r>
          </w:p>
        </w:tc>
        <w:tc>
          <w:tcPr>
            <w:tcW w:w="2258" w:type="dxa"/>
            <w:vMerge/>
          </w:tcPr>
          <w:p w14:paraId="0F21F588" w14:textId="77777777" w:rsidR="004E2EB3" w:rsidRPr="006655F2" w:rsidRDefault="004E2EB3" w:rsidP="000742EE"/>
        </w:tc>
        <w:tc>
          <w:tcPr>
            <w:tcW w:w="2258" w:type="dxa"/>
            <w:vMerge/>
            <w:shd w:val="clear" w:color="auto" w:fill="auto"/>
          </w:tcPr>
          <w:p w14:paraId="24D517C2" w14:textId="77777777" w:rsidR="004E2EB3" w:rsidRPr="006655F2" w:rsidRDefault="004E2EB3" w:rsidP="000742EE"/>
        </w:tc>
        <w:tc>
          <w:tcPr>
            <w:tcW w:w="2259" w:type="dxa"/>
            <w:vMerge/>
            <w:shd w:val="clear" w:color="auto" w:fill="auto"/>
          </w:tcPr>
          <w:p w14:paraId="1DFD2D8B" w14:textId="77777777" w:rsidR="004E2EB3" w:rsidRPr="006655F2" w:rsidRDefault="004E2EB3" w:rsidP="000742EE"/>
        </w:tc>
        <w:tc>
          <w:tcPr>
            <w:tcW w:w="2259" w:type="dxa"/>
            <w:vMerge w:val="restart"/>
            <w:shd w:val="clear" w:color="auto" w:fill="auto"/>
          </w:tcPr>
          <w:p w14:paraId="14C8EC97" w14:textId="77777777" w:rsidR="004E2EB3" w:rsidRDefault="004E2EB3" w:rsidP="000742EE">
            <w:r>
              <w:t>2D shape and sorting</w:t>
            </w:r>
          </w:p>
          <w:p w14:paraId="7B290E14" w14:textId="77777777" w:rsidR="004E2EB3" w:rsidRPr="006655F2" w:rsidRDefault="004E2EB3" w:rsidP="000742EE">
            <w:r>
              <w:t xml:space="preserve">Position and direction 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710E226E" w14:textId="77777777" w:rsidR="004E2EB3" w:rsidRPr="006655F2" w:rsidRDefault="004E2EB3" w:rsidP="000742EE">
            <w:r>
              <w:t xml:space="preserve">Addition and Subtraction </w:t>
            </w:r>
          </w:p>
        </w:tc>
        <w:tc>
          <w:tcPr>
            <w:tcW w:w="2184" w:type="dxa"/>
            <w:vMerge/>
            <w:shd w:val="clear" w:color="auto" w:fill="auto"/>
          </w:tcPr>
          <w:p w14:paraId="464BB7E4" w14:textId="77777777" w:rsidR="004E2EB3" w:rsidRPr="006655F2" w:rsidRDefault="004E2EB3" w:rsidP="000742EE"/>
        </w:tc>
      </w:tr>
      <w:tr w:rsidR="004E2EB3" w:rsidRPr="001B0518" w14:paraId="1211BFF3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18B679E5" w14:textId="77777777" w:rsidR="004E2EB3" w:rsidRPr="006655F2" w:rsidRDefault="004E2EB3" w:rsidP="000742EE">
            <w:r w:rsidRPr="006655F2">
              <w:t>Week 3</w:t>
            </w:r>
          </w:p>
        </w:tc>
        <w:tc>
          <w:tcPr>
            <w:tcW w:w="2258" w:type="dxa"/>
          </w:tcPr>
          <w:p w14:paraId="2B6F1265" w14:textId="77777777" w:rsidR="004E2EB3" w:rsidRPr="006655F2" w:rsidRDefault="004E2EB3" w:rsidP="000742EE">
            <w:r>
              <w:t xml:space="preserve">Length and Perimeter </w:t>
            </w:r>
          </w:p>
        </w:tc>
        <w:tc>
          <w:tcPr>
            <w:tcW w:w="2258" w:type="dxa"/>
            <w:shd w:val="clear" w:color="auto" w:fill="auto"/>
          </w:tcPr>
          <w:p w14:paraId="5F217C1D" w14:textId="77777777" w:rsidR="004E2EB3" w:rsidRPr="006655F2" w:rsidRDefault="004E2EB3" w:rsidP="000742EE">
            <w:r>
              <w:t xml:space="preserve">Division  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22A3530E" w14:textId="77777777" w:rsidR="004E2EB3" w:rsidRPr="006655F2" w:rsidRDefault="004E2EB3" w:rsidP="000742EE">
            <w:r>
              <w:t>Multiplication</w:t>
            </w:r>
          </w:p>
          <w:p w14:paraId="6EB616DA" w14:textId="77777777" w:rsidR="004E2EB3" w:rsidRPr="006655F2" w:rsidRDefault="004E2EB3" w:rsidP="000742EE">
            <w:r>
              <w:t xml:space="preserve"> </w:t>
            </w:r>
          </w:p>
        </w:tc>
        <w:tc>
          <w:tcPr>
            <w:tcW w:w="2259" w:type="dxa"/>
            <w:vMerge/>
            <w:shd w:val="clear" w:color="auto" w:fill="auto"/>
          </w:tcPr>
          <w:p w14:paraId="5A979012" w14:textId="77777777" w:rsidR="004E2EB3" w:rsidRPr="006655F2" w:rsidRDefault="004E2EB3" w:rsidP="000742EE"/>
        </w:tc>
        <w:tc>
          <w:tcPr>
            <w:tcW w:w="2297" w:type="dxa"/>
            <w:vMerge/>
            <w:shd w:val="clear" w:color="auto" w:fill="auto"/>
          </w:tcPr>
          <w:p w14:paraId="037EEB85" w14:textId="77777777" w:rsidR="004E2EB3" w:rsidRPr="006655F2" w:rsidRDefault="004E2EB3" w:rsidP="000742EE"/>
        </w:tc>
        <w:tc>
          <w:tcPr>
            <w:tcW w:w="2184" w:type="dxa"/>
            <w:shd w:val="clear" w:color="auto" w:fill="auto"/>
          </w:tcPr>
          <w:p w14:paraId="371DECCA" w14:textId="77777777" w:rsidR="004E2EB3" w:rsidRPr="006655F2" w:rsidRDefault="004E2EB3" w:rsidP="000742EE">
            <w:r>
              <w:t xml:space="preserve">2D and 3D shape </w:t>
            </w:r>
          </w:p>
        </w:tc>
      </w:tr>
      <w:tr w:rsidR="004E2EB3" w:rsidRPr="001B0518" w14:paraId="2C451ADE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DFD9A74" w14:textId="77777777" w:rsidR="004E2EB3" w:rsidRPr="006655F2" w:rsidRDefault="004E2EB3" w:rsidP="000742EE">
            <w:r w:rsidRPr="006655F2">
              <w:t>Week 4</w:t>
            </w:r>
          </w:p>
        </w:tc>
        <w:tc>
          <w:tcPr>
            <w:tcW w:w="2258" w:type="dxa"/>
          </w:tcPr>
          <w:p w14:paraId="151B316E" w14:textId="77777777" w:rsidR="004E2EB3" w:rsidRPr="006655F2" w:rsidRDefault="004E2EB3" w:rsidP="000742EE">
            <w:r>
              <w:t xml:space="preserve">Statistics </w:t>
            </w:r>
          </w:p>
        </w:tc>
        <w:tc>
          <w:tcPr>
            <w:tcW w:w="2258" w:type="dxa"/>
            <w:shd w:val="clear" w:color="auto" w:fill="auto"/>
          </w:tcPr>
          <w:p w14:paraId="4F4401E8" w14:textId="77777777" w:rsidR="004E2EB3" w:rsidRPr="006655F2" w:rsidRDefault="004E2EB3" w:rsidP="000742EE">
            <w:r>
              <w:t xml:space="preserve">Time  </w:t>
            </w:r>
          </w:p>
        </w:tc>
        <w:tc>
          <w:tcPr>
            <w:tcW w:w="2259" w:type="dxa"/>
            <w:vMerge/>
            <w:shd w:val="clear" w:color="auto" w:fill="auto"/>
          </w:tcPr>
          <w:p w14:paraId="7F09FCEA" w14:textId="77777777" w:rsidR="004E2EB3" w:rsidRPr="006655F2" w:rsidRDefault="004E2EB3" w:rsidP="000742EE"/>
        </w:tc>
        <w:tc>
          <w:tcPr>
            <w:tcW w:w="2259" w:type="dxa"/>
            <w:shd w:val="clear" w:color="auto" w:fill="auto"/>
          </w:tcPr>
          <w:p w14:paraId="3D38A2D5" w14:textId="77777777" w:rsidR="004E2EB3" w:rsidRDefault="004E2EB3" w:rsidP="000742EE">
            <w:r>
              <w:t>Area</w:t>
            </w:r>
          </w:p>
          <w:p w14:paraId="40CB88BD" w14:textId="77777777" w:rsidR="004E2EB3" w:rsidRPr="006655F2" w:rsidRDefault="004E2EB3" w:rsidP="000742EE">
            <w:r>
              <w:t xml:space="preserve">Statistics 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5B499FD0" w14:textId="77777777" w:rsidR="004E2EB3" w:rsidRPr="006655F2" w:rsidRDefault="004E2EB3" w:rsidP="000742EE">
            <w:r>
              <w:t xml:space="preserve">Multiplication and Division </w:t>
            </w:r>
          </w:p>
        </w:tc>
        <w:tc>
          <w:tcPr>
            <w:tcW w:w="2184" w:type="dxa"/>
            <w:shd w:val="clear" w:color="auto" w:fill="auto"/>
          </w:tcPr>
          <w:p w14:paraId="3284D0A5" w14:textId="77777777" w:rsidR="004E2EB3" w:rsidRPr="006655F2" w:rsidRDefault="004E2EB3" w:rsidP="000742EE">
            <w:r>
              <w:t xml:space="preserve">Statistics </w:t>
            </w:r>
          </w:p>
        </w:tc>
      </w:tr>
      <w:tr w:rsidR="004E2EB3" w:rsidRPr="001B0518" w14:paraId="08807052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22470B7" w14:textId="77777777" w:rsidR="004E2EB3" w:rsidRPr="006655F2" w:rsidRDefault="004E2EB3" w:rsidP="000742EE">
            <w:r w:rsidRPr="006655F2">
              <w:t>Week 5</w:t>
            </w:r>
          </w:p>
        </w:tc>
        <w:tc>
          <w:tcPr>
            <w:tcW w:w="2258" w:type="dxa"/>
            <w:vMerge w:val="restart"/>
          </w:tcPr>
          <w:p w14:paraId="7B0513EA" w14:textId="77777777" w:rsidR="004E2EB3" w:rsidRPr="006655F2" w:rsidRDefault="004E2EB3" w:rsidP="000742EE">
            <w:r>
              <w:t xml:space="preserve">Addition and Subtraction </w:t>
            </w:r>
          </w:p>
        </w:tc>
        <w:tc>
          <w:tcPr>
            <w:tcW w:w="2258" w:type="dxa"/>
            <w:shd w:val="clear" w:color="auto" w:fill="auto"/>
          </w:tcPr>
          <w:p w14:paraId="0CD9E688" w14:textId="77777777" w:rsidR="004E2EB3" w:rsidRPr="006655F2" w:rsidRDefault="004E2EB3" w:rsidP="000742EE">
            <w:r>
              <w:t xml:space="preserve">3D Shape </w:t>
            </w:r>
          </w:p>
        </w:tc>
        <w:tc>
          <w:tcPr>
            <w:tcW w:w="2259" w:type="dxa"/>
            <w:shd w:val="clear" w:color="auto" w:fill="auto"/>
          </w:tcPr>
          <w:p w14:paraId="1E6D9FE3" w14:textId="77777777" w:rsidR="004E2EB3" w:rsidRPr="006655F2" w:rsidRDefault="004E2EB3" w:rsidP="000742EE">
            <w:r>
              <w:t>Division</w:t>
            </w:r>
          </w:p>
        </w:tc>
        <w:tc>
          <w:tcPr>
            <w:tcW w:w="2259" w:type="dxa"/>
            <w:shd w:val="clear" w:color="auto" w:fill="auto"/>
          </w:tcPr>
          <w:p w14:paraId="6E9B8EF2" w14:textId="77777777" w:rsidR="004E2EB3" w:rsidRPr="006655F2" w:rsidRDefault="004E2EB3" w:rsidP="000742EE">
            <w:r>
              <w:t xml:space="preserve">Measures </w:t>
            </w:r>
          </w:p>
        </w:tc>
        <w:tc>
          <w:tcPr>
            <w:tcW w:w="2297" w:type="dxa"/>
            <w:vMerge/>
            <w:shd w:val="clear" w:color="auto" w:fill="auto"/>
          </w:tcPr>
          <w:p w14:paraId="60C7BEB1" w14:textId="77777777" w:rsidR="004E2EB3" w:rsidRPr="006655F2" w:rsidRDefault="004E2EB3" w:rsidP="000742EE"/>
        </w:tc>
        <w:tc>
          <w:tcPr>
            <w:tcW w:w="2184" w:type="dxa"/>
            <w:shd w:val="clear" w:color="auto" w:fill="auto"/>
          </w:tcPr>
          <w:p w14:paraId="69EB71FA" w14:textId="77777777" w:rsidR="004E2EB3" w:rsidRPr="006655F2" w:rsidRDefault="004E2EB3" w:rsidP="000742EE">
            <w:r>
              <w:t xml:space="preserve">Place Value </w:t>
            </w:r>
          </w:p>
        </w:tc>
      </w:tr>
      <w:tr w:rsidR="004E2EB3" w:rsidRPr="001B0518" w14:paraId="2FC21E5B" w14:textId="77777777" w:rsidTr="000742EE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261ADDD" w14:textId="17324B16" w:rsidR="004E2EB3" w:rsidRPr="006655F2" w:rsidRDefault="004E2EB3" w:rsidP="000742EE">
            <w:r w:rsidRPr="006655F2">
              <w:t>Week 6</w:t>
            </w:r>
            <w:r w:rsidR="006C1F74">
              <w:t xml:space="preserve"> &amp; 7</w:t>
            </w:r>
          </w:p>
        </w:tc>
        <w:tc>
          <w:tcPr>
            <w:tcW w:w="2258" w:type="dxa"/>
            <w:vMerge/>
          </w:tcPr>
          <w:p w14:paraId="3857DA57" w14:textId="77777777" w:rsidR="004E2EB3" w:rsidRPr="006655F2" w:rsidRDefault="004E2EB3" w:rsidP="000742EE"/>
        </w:tc>
        <w:tc>
          <w:tcPr>
            <w:tcW w:w="2258" w:type="dxa"/>
            <w:shd w:val="clear" w:color="auto" w:fill="auto"/>
          </w:tcPr>
          <w:p w14:paraId="1D601A64" w14:textId="77777777" w:rsidR="004E2EB3" w:rsidRPr="006655F2" w:rsidRDefault="004E2EB3" w:rsidP="000742EE">
            <w:r w:rsidRPr="006655F2">
              <w:t xml:space="preserve">Assess and Review </w:t>
            </w:r>
          </w:p>
        </w:tc>
        <w:tc>
          <w:tcPr>
            <w:tcW w:w="2259" w:type="dxa"/>
            <w:shd w:val="clear" w:color="auto" w:fill="auto"/>
          </w:tcPr>
          <w:p w14:paraId="0AE13F8E" w14:textId="77777777" w:rsidR="004E2EB3" w:rsidRDefault="004E2EB3" w:rsidP="000742EE">
            <w:r>
              <w:t>Addition and Subtraction</w:t>
            </w:r>
          </w:p>
          <w:p w14:paraId="7E4FDA29" w14:textId="77777777" w:rsidR="004E2EB3" w:rsidRPr="006655F2" w:rsidRDefault="004E2EB3" w:rsidP="000742EE">
            <w:r>
              <w:t xml:space="preserve">Fractions </w:t>
            </w:r>
          </w:p>
        </w:tc>
        <w:tc>
          <w:tcPr>
            <w:tcW w:w="2259" w:type="dxa"/>
            <w:shd w:val="clear" w:color="auto" w:fill="auto"/>
          </w:tcPr>
          <w:p w14:paraId="58716435" w14:textId="77777777" w:rsidR="004E2EB3" w:rsidRPr="006655F2" w:rsidRDefault="004E2EB3" w:rsidP="000742EE">
            <w:r w:rsidRPr="006655F2">
              <w:t xml:space="preserve">Assess and Review </w:t>
            </w:r>
          </w:p>
        </w:tc>
        <w:tc>
          <w:tcPr>
            <w:tcW w:w="2297" w:type="dxa"/>
            <w:vMerge/>
            <w:shd w:val="clear" w:color="auto" w:fill="auto"/>
          </w:tcPr>
          <w:p w14:paraId="111E3546" w14:textId="77777777" w:rsidR="004E2EB3" w:rsidRPr="006655F2" w:rsidRDefault="004E2EB3" w:rsidP="000742EE"/>
        </w:tc>
        <w:tc>
          <w:tcPr>
            <w:tcW w:w="2184" w:type="dxa"/>
            <w:shd w:val="clear" w:color="auto" w:fill="auto"/>
          </w:tcPr>
          <w:p w14:paraId="4EEE871C" w14:textId="77777777" w:rsidR="004E2EB3" w:rsidRPr="006655F2" w:rsidRDefault="004E2EB3" w:rsidP="000742EE">
            <w:r w:rsidRPr="006655F2">
              <w:t>Assess and Review</w:t>
            </w:r>
          </w:p>
        </w:tc>
      </w:tr>
      <w:tr w:rsidR="004E2EB3" w:rsidRPr="001B0518" w14:paraId="11675E84" w14:textId="77777777" w:rsidTr="000742EE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7"/>
          </w:tcPr>
          <w:p w14:paraId="45135316" w14:textId="77777777" w:rsidR="004E2EB3" w:rsidRPr="001B0518" w:rsidRDefault="004E2EB3" w:rsidP="000742EE">
            <w:pPr>
              <w:rPr>
                <w:sz w:val="16"/>
                <w:szCs w:val="16"/>
              </w:rPr>
            </w:pPr>
          </w:p>
        </w:tc>
      </w:tr>
    </w:tbl>
    <w:p w14:paraId="1E6CCCDA" w14:textId="0B7E0D5F" w:rsidR="009A5714" w:rsidRDefault="009A5714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p w14:paraId="7DD39B59" w14:textId="77777777" w:rsidR="00DD5D82" w:rsidRPr="009A5714" w:rsidRDefault="00DD5D82" w:rsidP="00A46E97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2"/>
          <w:szCs w:val="32"/>
        </w:rPr>
      </w:pPr>
    </w:p>
    <w:tbl>
      <w:tblPr>
        <w:tblStyle w:val="TableGrid"/>
        <w:tblW w:w="15773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2258"/>
        <w:gridCol w:w="13515"/>
      </w:tblGrid>
      <w:tr w:rsidR="00723A3B" w:rsidRPr="00F86284" w14:paraId="7F476E09" w14:textId="77777777" w:rsidTr="1C68D796">
        <w:trPr>
          <w:trHeight w:val="162"/>
        </w:trPr>
        <w:tc>
          <w:tcPr>
            <w:tcW w:w="15773" w:type="dxa"/>
            <w:gridSpan w:val="2"/>
            <w:shd w:val="clear" w:color="auto" w:fill="FF552D"/>
          </w:tcPr>
          <w:p w14:paraId="2D10F9AF" w14:textId="451B8C17" w:rsidR="00723A3B" w:rsidRPr="006655F2" w:rsidRDefault="00723A3B" w:rsidP="00C87722"/>
        </w:tc>
      </w:tr>
      <w:tr w:rsidR="00AF6CE1" w:rsidRPr="00F86284" w14:paraId="0C9E39D7" w14:textId="77777777" w:rsidTr="00AF6CE1">
        <w:tblPrEx>
          <w:shd w:val="clear" w:color="auto" w:fill="F4B083" w:themeFill="accent2" w:themeFillTint="99"/>
        </w:tblPrEx>
        <w:trPr>
          <w:trHeight w:val="256"/>
        </w:trPr>
        <w:tc>
          <w:tcPr>
            <w:tcW w:w="2258" w:type="dxa"/>
            <w:shd w:val="clear" w:color="auto" w:fill="auto"/>
          </w:tcPr>
          <w:p w14:paraId="02065BD2" w14:textId="1C99E56B" w:rsidR="00AF6CE1" w:rsidRPr="00AF6CE1" w:rsidRDefault="00AF6CE1" w:rsidP="00723A3B">
            <w:pPr>
              <w:jc w:val="center"/>
              <w:rPr>
                <w:b/>
                <w:bCs/>
              </w:rPr>
            </w:pPr>
            <w:r w:rsidRPr="00AF6CE1">
              <w:rPr>
                <w:b/>
                <w:bCs/>
              </w:rPr>
              <w:t xml:space="preserve">Topic </w:t>
            </w:r>
          </w:p>
        </w:tc>
        <w:tc>
          <w:tcPr>
            <w:tcW w:w="13515" w:type="dxa"/>
            <w:shd w:val="clear" w:color="auto" w:fill="auto"/>
          </w:tcPr>
          <w:p w14:paraId="149E0122" w14:textId="3A6079A6" w:rsidR="00AF6CE1" w:rsidRPr="006655F2" w:rsidRDefault="00AF6CE1" w:rsidP="00723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End of Year Expectation </w:t>
            </w:r>
          </w:p>
        </w:tc>
      </w:tr>
      <w:tr w:rsidR="00AF6CE1" w:rsidRPr="001B0518" w14:paraId="7D207E41" w14:textId="77777777" w:rsidTr="00B853BF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613D33D" w14:textId="37F0119A" w:rsidR="00AF6CE1" w:rsidRPr="006655F2" w:rsidRDefault="00AF6CE1" w:rsidP="00AF6CE1">
            <w:pPr>
              <w:jc w:val="center"/>
            </w:pPr>
            <w:r>
              <w:t>Number and Place Value</w:t>
            </w:r>
          </w:p>
        </w:tc>
        <w:tc>
          <w:tcPr>
            <w:tcW w:w="13515" w:type="dxa"/>
          </w:tcPr>
          <w:p w14:paraId="69E204E3" w14:textId="77777777" w:rsidR="00AF6CE1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Count in multiples of 6, 7, 9, 25 and 1000</w:t>
            </w:r>
          </w:p>
          <w:p w14:paraId="268CA432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Count backwards through zero to include negative numbers</w:t>
            </w:r>
          </w:p>
          <w:p w14:paraId="5D5B6CC0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Count up and down in hundredths</w:t>
            </w:r>
          </w:p>
          <w:p w14:paraId="1C2B484F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Read and write numbers to at least 10 000</w:t>
            </w:r>
          </w:p>
          <w:p w14:paraId="41581AAF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 xml:space="preserve">Read and write numbers with up to two decimal places </w:t>
            </w:r>
          </w:p>
          <w:p w14:paraId="5D191CDF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Recognise the place value of each digit in a four-digit number</w:t>
            </w:r>
          </w:p>
          <w:p w14:paraId="4B25552C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Identify the value of each digit to two decimal places</w:t>
            </w:r>
          </w:p>
          <w:p w14:paraId="0BB9ED8E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Partition numbers in different ways (</w:t>
            </w:r>
            <w:proofErr w:type="gramStart"/>
            <w:r>
              <w:t>e.g.</w:t>
            </w:r>
            <w:proofErr w:type="gramEnd"/>
            <w:r>
              <w:t xml:space="preserve"> 2.3 = 2+0.3 &amp; 1+1.3)</w:t>
            </w:r>
          </w:p>
          <w:p w14:paraId="050DA7F9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Identify, represent and estimate numbers using different representations (including the number line)</w:t>
            </w:r>
          </w:p>
          <w:p w14:paraId="5CBD7CA3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Order and compare numbers beyond 1000</w:t>
            </w:r>
          </w:p>
          <w:p w14:paraId="07F018E7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Order and compare numbers with the same number of decimal places up to two decimal places</w:t>
            </w:r>
          </w:p>
          <w:p w14:paraId="0C608875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Find 0.1, 1, 10, 100 or 1000 more or less than a given number</w:t>
            </w:r>
          </w:p>
          <w:p w14:paraId="7AA1E116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Round any number to the nearest 10, 100 or 1000</w:t>
            </w:r>
          </w:p>
          <w:p w14:paraId="2F44AE46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Round decimals (one decimal place) to the nearest whole number</w:t>
            </w:r>
          </w:p>
          <w:p w14:paraId="592B9B38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Find the effect of dividing a one- or twodigit number by 10 and 100, identifying the value of the digits in the answer</w:t>
            </w:r>
          </w:p>
          <w:p w14:paraId="225FF090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Describe and extend number sequences involving counting on or back in different steps, including sequences with multiplication and division steps</w:t>
            </w:r>
          </w:p>
          <w:p w14:paraId="4A1CE0C4" w14:textId="77777777" w:rsidR="004E2EB3" w:rsidRDefault="004E2EB3" w:rsidP="00AF6CE1">
            <w:pPr>
              <w:pStyle w:val="ListParagraph"/>
              <w:numPr>
                <w:ilvl w:val="0"/>
                <w:numId w:val="31"/>
              </w:numPr>
            </w:pPr>
            <w:r>
              <w:t>Read Roman numerals to 100 and know that over time, the numeral system changed to include the concept of zero and place value</w:t>
            </w:r>
          </w:p>
          <w:p w14:paraId="223F9AC0" w14:textId="733C51D4" w:rsidR="004E2EB3" w:rsidRPr="006655F2" w:rsidRDefault="00C720FB" w:rsidP="00AF6CE1">
            <w:pPr>
              <w:pStyle w:val="ListParagraph"/>
              <w:numPr>
                <w:ilvl w:val="0"/>
                <w:numId w:val="31"/>
              </w:numPr>
            </w:pPr>
            <w:r>
              <w:t>Solve number and practical problems that involve all of the above and with increasingly large positive numbers</w:t>
            </w:r>
          </w:p>
        </w:tc>
      </w:tr>
      <w:tr w:rsidR="00AF6CE1" w:rsidRPr="001B0518" w14:paraId="33EA5D38" w14:textId="77777777" w:rsidTr="00871286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3A8AF23" w14:textId="50C947E8" w:rsidR="00AF6CE1" w:rsidRPr="006655F2" w:rsidRDefault="00AF6CE1" w:rsidP="00AF6CE1">
            <w:pPr>
              <w:jc w:val="center"/>
            </w:pPr>
            <w:r>
              <w:lastRenderedPageBreak/>
              <w:t>Addition and Subtraction</w:t>
            </w:r>
          </w:p>
        </w:tc>
        <w:tc>
          <w:tcPr>
            <w:tcW w:w="13515" w:type="dxa"/>
          </w:tcPr>
          <w:p w14:paraId="6A01C322" w14:textId="77777777" w:rsidR="00AF6CE1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489DDC2E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Select a mental strategy appropriate for the numbers involved in the calculation</w:t>
            </w:r>
          </w:p>
          <w:p w14:paraId="18F4C116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Recall and use addition and subtraction facts for 100</w:t>
            </w:r>
          </w:p>
          <w:p w14:paraId="2A77ED4C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Recall and use +/- facts for multiples of 100 totalling 1000</w:t>
            </w:r>
          </w:p>
          <w:p w14:paraId="7E58896C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Derive and use addition and subtraction facts for 1 and 10 (with decimal numbers to one decimal place)</w:t>
            </w:r>
          </w:p>
          <w:p w14:paraId="1889B511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 xml:space="preserve">Add and subtract mentally combinations of </w:t>
            </w:r>
            <w:proofErr w:type="gramStart"/>
            <w:r>
              <w:t>two and three digit</w:t>
            </w:r>
            <w:proofErr w:type="gramEnd"/>
            <w:r>
              <w:t xml:space="preserve"> numbers and decimals to one decimal place </w:t>
            </w:r>
          </w:p>
          <w:p w14:paraId="6C80D5A3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Add and subtract numbers with up to 4 digits and decimals with one decimal place using the formal written methods of columnar addition and subtraction where appropriate</w:t>
            </w:r>
          </w:p>
          <w:p w14:paraId="59776662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Estimate; use inverse operations to check answers to a calculation</w:t>
            </w:r>
          </w:p>
          <w:p w14:paraId="3C56F74F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Solve addition and subtraction two-step problems in contexts, deciding which operations and methods to use and why</w:t>
            </w:r>
          </w:p>
          <w:p w14:paraId="338FEFAC" w14:textId="60C3B418" w:rsidR="00C720FB" w:rsidRPr="006655F2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Solve addition and subtraction problems involving missing numbers</w:t>
            </w:r>
          </w:p>
        </w:tc>
      </w:tr>
      <w:tr w:rsidR="00AF6CE1" w:rsidRPr="001B0518" w14:paraId="77998556" w14:textId="77777777" w:rsidTr="00932CF9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41070EFA" w14:textId="6624EA17" w:rsidR="00AF6CE1" w:rsidRPr="006655F2" w:rsidRDefault="00AF6CE1" w:rsidP="00AF6CE1">
            <w:pPr>
              <w:jc w:val="center"/>
            </w:pPr>
            <w:r>
              <w:t>Multiplication and Division</w:t>
            </w:r>
          </w:p>
        </w:tc>
        <w:tc>
          <w:tcPr>
            <w:tcW w:w="13515" w:type="dxa"/>
          </w:tcPr>
          <w:p w14:paraId="5EB29FA3" w14:textId="77777777" w:rsidR="00AF6CE1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Choose an appropriate strategy to solve a calculation based upon the numbers involved (recall a known fact, calculate mentally, use a jotting, written method)</w:t>
            </w:r>
          </w:p>
          <w:p w14:paraId="23FBC7E5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Recognise and use factor pairs and commutativity in mental calculations</w:t>
            </w:r>
          </w:p>
          <w:p w14:paraId="7A4EB2E4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Recall multiplication and division facts for multiplication tables up to 12 × 12</w:t>
            </w:r>
          </w:p>
          <w:p w14:paraId="44FA0925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Use partitioning to double or halve any number, including decimals to one decimal place</w:t>
            </w:r>
          </w:p>
          <w:p w14:paraId="4BA50DC1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Use place value, known and derived facts to multiply and divide mentally, including: - multiplying by 0 and 1 - dividing by 1 - multiplying together three numbers</w:t>
            </w:r>
          </w:p>
          <w:p w14:paraId="522D9996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Multiply two-digit and three-digit numbers by a one-digit number using formal written layout</w:t>
            </w:r>
          </w:p>
          <w:p w14:paraId="4D8464B8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>Divide numbers up to 3 digits by a one-digit number using the formal written method of short division and interpret remainders appropriately for the context</w:t>
            </w:r>
          </w:p>
          <w:p w14:paraId="2EDD8C26" w14:textId="77777777" w:rsidR="00C720FB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 xml:space="preserve">Use estimation and inverse to check answers to calculations and determine, in the context of a problem, an appropriate degree of accuracy </w:t>
            </w:r>
          </w:p>
          <w:p w14:paraId="6B31FBE6" w14:textId="00F65A4D" w:rsidR="00C720FB" w:rsidRPr="006655F2" w:rsidRDefault="00C720FB" w:rsidP="00AF6CE1">
            <w:pPr>
              <w:pStyle w:val="ListParagraph"/>
              <w:numPr>
                <w:ilvl w:val="0"/>
                <w:numId w:val="32"/>
              </w:numPr>
            </w:pPr>
            <w:r>
              <w:t xml:space="preserve">Solve problems involving multiplying and adding, including using the distributive law to multiply </w:t>
            </w:r>
            <w:proofErr w:type="gramStart"/>
            <w:r>
              <w:t>two digit</w:t>
            </w:r>
            <w:proofErr w:type="gramEnd"/>
            <w:r>
              <w:t xml:space="preserve"> numbers by one digit, division (including interpreting remainders), integer scaling problems and harder correspondence problems such as n objects are connected to m objects</w:t>
            </w:r>
          </w:p>
        </w:tc>
      </w:tr>
      <w:tr w:rsidR="00AF6CE1" w:rsidRPr="001B0518" w14:paraId="227D0AF6" w14:textId="77777777" w:rsidTr="008005CD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30C2191B" w14:textId="7A334281" w:rsidR="00AF6CE1" w:rsidRPr="006655F2" w:rsidRDefault="00AF6CE1" w:rsidP="00AF6CE1">
            <w:pPr>
              <w:jc w:val="center"/>
            </w:pPr>
            <w:r>
              <w:t>Number – Fractions</w:t>
            </w:r>
          </w:p>
        </w:tc>
        <w:tc>
          <w:tcPr>
            <w:tcW w:w="13515" w:type="dxa"/>
          </w:tcPr>
          <w:p w14:paraId="0E36BB33" w14:textId="0DDBF3C7" w:rsidR="00AF6CE1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Understand that a fraction is one whole number divided by another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>
              <w:rPr>
                <w:rFonts w:ascii="Cambria Math" w:hAnsi="Cambria Math" w:cs="Cambria Math"/>
              </w:rPr>
              <w:t>𝟑</w:t>
            </w:r>
            <w:r>
              <w:t>/</w:t>
            </w:r>
            <w:r>
              <w:rPr>
                <w:rFonts w:ascii="Cambria Math" w:hAnsi="Cambria Math" w:cs="Cambria Math"/>
              </w:rPr>
              <w:t>𝟒</w:t>
            </w:r>
            <w:r>
              <w:t xml:space="preserve"> can be interpreted as 3 ÷ 4)</w:t>
            </w:r>
          </w:p>
          <w:p w14:paraId="28C0E79F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Recognise, find and write fractions of a discrete set of objects including those with a range of numerators and denominators</w:t>
            </w:r>
          </w:p>
          <w:p w14:paraId="3B01F419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that hundredths arise when dividing an object by one hundred and dividing tenths by ten</w:t>
            </w:r>
          </w:p>
          <w:p w14:paraId="6E39FDA6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Count on and back in steps of unit fractions</w:t>
            </w:r>
          </w:p>
          <w:p w14:paraId="5595B909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Compare and order unit fractions and fractions with the same denominators (including on a number line)</w:t>
            </w:r>
          </w:p>
          <w:p w14:paraId="43D8EF5F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and show, using diagrams, families of common equivalent fractions</w:t>
            </w:r>
          </w:p>
          <w:p w14:paraId="6B87E4A8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Recognise and write decimal equivalents of any number of tenths or hundredths</w:t>
            </w:r>
          </w:p>
          <w:p w14:paraId="3D981524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 xml:space="preserve">Recognise and write decimal equivalents to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proofErr w:type="gramStart"/>
            <w:r>
              <w:rPr>
                <w:rFonts w:ascii="Cambria Math" w:hAnsi="Cambria Math" w:cs="Cambria Math"/>
              </w:rPr>
              <w:t>𝟒</w:t>
            </w:r>
            <w:r>
              <w:t xml:space="preserve"> ,</w:t>
            </w:r>
            <w:proofErr w:type="gramEnd"/>
            <w:r>
              <w:t xml:space="preserve">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𝟐</w:t>
            </w:r>
            <w:r>
              <w:t xml:space="preserve"> , </w:t>
            </w:r>
            <w:r>
              <w:rPr>
                <w:rFonts w:ascii="Cambria Math" w:hAnsi="Cambria Math" w:cs="Cambria Math"/>
              </w:rPr>
              <w:t>𝟑</w:t>
            </w:r>
            <w:r>
              <w:t>/4</w:t>
            </w:r>
          </w:p>
          <w:p w14:paraId="7DB72AB2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Add and subtract fractions with the same denominator (using diagrams)</w:t>
            </w:r>
          </w:p>
          <w:p w14:paraId="50167045" w14:textId="77777777" w:rsidR="00C720FB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Solve problems involving increasingly harder fractions to calculate quantities, and fractions to divide quantities, including non-unit fractions where the answer is a whole number</w:t>
            </w:r>
          </w:p>
          <w:p w14:paraId="7A296E65" w14:textId="65997329" w:rsidR="00C720FB" w:rsidRPr="006655F2" w:rsidRDefault="00C720FB" w:rsidP="00AF6CE1">
            <w:pPr>
              <w:pStyle w:val="ListParagraph"/>
              <w:numPr>
                <w:ilvl w:val="0"/>
                <w:numId w:val="33"/>
              </w:numPr>
            </w:pPr>
            <w:r>
              <w:t>Solve simple measure and money problems involving fractions and decimals to two decimal places</w:t>
            </w:r>
          </w:p>
        </w:tc>
      </w:tr>
      <w:tr w:rsidR="00AF6CE1" w:rsidRPr="001B0518" w14:paraId="565D5298" w14:textId="77777777" w:rsidTr="009545A2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25E65B0C" w14:textId="5FB09F89" w:rsidR="00AF6CE1" w:rsidRPr="006655F2" w:rsidRDefault="00AF6CE1" w:rsidP="00AF6CE1">
            <w:pPr>
              <w:jc w:val="center"/>
            </w:pPr>
            <w:r>
              <w:lastRenderedPageBreak/>
              <w:t>Geometry – Properties of Shapes</w:t>
            </w:r>
          </w:p>
        </w:tc>
        <w:tc>
          <w:tcPr>
            <w:tcW w:w="13515" w:type="dxa"/>
          </w:tcPr>
          <w:p w14:paraId="24A5115F" w14:textId="77777777" w:rsidR="00787384" w:rsidRDefault="00C720FB" w:rsidP="00787384">
            <w:pPr>
              <w:pStyle w:val="ListParagraph"/>
              <w:numPr>
                <w:ilvl w:val="0"/>
                <w:numId w:val="33"/>
              </w:numPr>
            </w:pPr>
            <w:r>
              <w:t>Compare and classify geometric shapes, including quadrilaterals and triangles, based on their properties and sizes</w:t>
            </w:r>
          </w:p>
          <w:p w14:paraId="361452F3" w14:textId="77777777" w:rsidR="00C720FB" w:rsidRDefault="00C720FB" w:rsidP="00787384">
            <w:pPr>
              <w:pStyle w:val="ListParagraph"/>
              <w:numPr>
                <w:ilvl w:val="0"/>
                <w:numId w:val="33"/>
              </w:numPr>
            </w:pPr>
            <w:r>
              <w:t>Identify lines of symmetry in 2-D shapes presented in different orientations</w:t>
            </w:r>
          </w:p>
          <w:p w14:paraId="446B1C06" w14:textId="77777777" w:rsidR="00C720FB" w:rsidRDefault="00C720FB" w:rsidP="00787384">
            <w:pPr>
              <w:pStyle w:val="ListParagraph"/>
              <w:numPr>
                <w:ilvl w:val="0"/>
                <w:numId w:val="33"/>
              </w:numPr>
            </w:pPr>
            <w:r>
              <w:t xml:space="preserve">Complete a simple symmetric figure with respect to a specific line of symmetry </w:t>
            </w:r>
          </w:p>
          <w:p w14:paraId="2464397C" w14:textId="77777777" w:rsidR="00C720FB" w:rsidRDefault="00C720FB" w:rsidP="00787384">
            <w:pPr>
              <w:pStyle w:val="ListParagraph"/>
              <w:numPr>
                <w:ilvl w:val="0"/>
                <w:numId w:val="33"/>
              </w:numPr>
            </w:pPr>
            <w:r>
              <w:t>Continue to identify horizontal and vertical lines and pairs of perpendicular and parallel lines</w:t>
            </w:r>
          </w:p>
          <w:p w14:paraId="74F42C88" w14:textId="1C72B25E" w:rsidR="00C720FB" w:rsidRPr="006655F2" w:rsidRDefault="00C720FB" w:rsidP="00787384">
            <w:pPr>
              <w:pStyle w:val="ListParagraph"/>
              <w:numPr>
                <w:ilvl w:val="0"/>
                <w:numId w:val="33"/>
              </w:numPr>
            </w:pPr>
            <w:r>
              <w:t>Identify acute and obtuse angles and compare and order angles up to two right angles by size</w:t>
            </w:r>
          </w:p>
        </w:tc>
      </w:tr>
      <w:tr w:rsidR="00AF6CE1" w:rsidRPr="001B0518" w14:paraId="1FF7C528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77A24F40" w14:textId="6A68C0D0" w:rsidR="00AF6CE1" w:rsidRPr="006655F2" w:rsidRDefault="00787384" w:rsidP="00787384">
            <w:pPr>
              <w:jc w:val="center"/>
            </w:pPr>
            <w:r>
              <w:t>Geometry – Position and Direction</w:t>
            </w:r>
          </w:p>
        </w:tc>
        <w:tc>
          <w:tcPr>
            <w:tcW w:w="13515" w:type="dxa"/>
          </w:tcPr>
          <w:p w14:paraId="1050ECAB" w14:textId="77777777" w:rsidR="00787384" w:rsidRDefault="00C720FB" w:rsidP="00C720FB">
            <w:pPr>
              <w:pStyle w:val="ListParagraph"/>
              <w:numPr>
                <w:ilvl w:val="0"/>
                <w:numId w:val="35"/>
              </w:numPr>
            </w:pPr>
            <w:r>
              <w:t>Describe positions on a 2-D grid as coordinates in the first quadrant</w:t>
            </w:r>
          </w:p>
          <w:p w14:paraId="74465F21" w14:textId="77777777" w:rsidR="00C720FB" w:rsidRDefault="00C720FB" w:rsidP="00C720FB">
            <w:pPr>
              <w:pStyle w:val="ListParagraph"/>
              <w:numPr>
                <w:ilvl w:val="0"/>
                <w:numId w:val="35"/>
              </w:numPr>
            </w:pPr>
            <w:r>
              <w:t>Plot specified points and draw sides to complete a given polygon</w:t>
            </w:r>
          </w:p>
          <w:p w14:paraId="52A50684" w14:textId="0CFA8C40" w:rsidR="00C720FB" w:rsidRPr="006655F2" w:rsidRDefault="00C720FB" w:rsidP="00C720FB">
            <w:pPr>
              <w:pStyle w:val="ListParagraph"/>
              <w:numPr>
                <w:ilvl w:val="0"/>
                <w:numId w:val="35"/>
              </w:numPr>
            </w:pPr>
            <w:r>
              <w:t xml:space="preserve">Describe movements between positions as translations of a given unit to the left/right and up/down </w:t>
            </w:r>
          </w:p>
        </w:tc>
      </w:tr>
      <w:tr w:rsidR="00787384" w:rsidRPr="001B0518" w14:paraId="710C8979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6AF8185A" w14:textId="6CC0D0EB" w:rsidR="00787384" w:rsidRDefault="00787384" w:rsidP="00787384">
            <w:pPr>
              <w:jc w:val="center"/>
            </w:pPr>
            <w:r>
              <w:t xml:space="preserve">Statistics </w:t>
            </w:r>
          </w:p>
        </w:tc>
        <w:tc>
          <w:tcPr>
            <w:tcW w:w="13515" w:type="dxa"/>
          </w:tcPr>
          <w:p w14:paraId="2137743B" w14:textId="77777777" w:rsidR="00787384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Use a variety of sorting diagrams to compare and classify numbers and geometric shapes based on their properties and sizes</w:t>
            </w:r>
          </w:p>
          <w:p w14:paraId="1CEE4471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Interpret and present discrete and continuous data using appropriate graphical methods, including bar charts, time graphs</w:t>
            </w:r>
          </w:p>
          <w:p w14:paraId="4ACB3712" w14:textId="20BE3C78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Solve comparison, sum and difference problems using information presented in bar charts, pictograms, tables and other graphs</w:t>
            </w:r>
          </w:p>
        </w:tc>
      </w:tr>
      <w:tr w:rsidR="00787384" w:rsidRPr="001B0518" w14:paraId="50167797" w14:textId="77777777" w:rsidTr="00F8031A">
        <w:tblPrEx>
          <w:shd w:val="clear" w:color="auto" w:fill="F4B083" w:themeFill="accent2" w:themeFillTint="99"/>
        </w:tblPrEx>
        <w:trPr>
          <w:trHeight w:val="668"/>
        </w:trPr>
        <w:tc>
          <w:tcPr>
            <w:tcW w:w="2258" w:type="dxa"/>
            <w:shd w:val="clear" w:color="auto" w:fill="auto"/>
          </w:tcPr>
          <w:p w14:paraId="52812DEA" w14:textId="1B2855C8" w:rsidR="00787384" w:rsidRDefault="00787384" w:rsidP="00787384">
            <w:pPr>
              <w:jc w:val="center"/>
            </w:pPr>
            <w:r>
              <w:t xml:space="preserve">Measurement </w:t>
            </w:r>
          </w:p>
        </w:tc>
        <w:tc>
          <w:tcPr>
            <w:tcW w:w="13515" w:type="dxa"/>
          </w:tcPr>
          <w:p w14:paraId="51A7642F" w14:textId="77777777" w:rsidR="00787384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Estimate, compare and calculate different measures, including money in pounds and pence</w:t>
            </w:r>
          </w:p>
          <w:p w14:paraId="5C09D18D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Order temperatures including those below 0°C</w:t>
            </w:r>
          </w:p>
          <w:p w14:paraId="2B155892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Measure and calculate the perimeter of a rectilinear figure (including squares) in centimetres and metres</w:t>
            </w:r>
          </w:p>
          <w:p w14:paraId="6A695785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Know area is a measure of surface within a given boundary</w:t>
            </w:r>
          </w:p>
          <w:p w14:paraId="5FDBF841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Find the area of rectilinear shapes by counting squares</w:t>
            </w:r>
          </w:p>
          <w:p w14:paraId="0B455D76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Convert between different units of measure [</w:t>
            </w:r>
            <w:proofErr w:type="gramStart"/>
            <w:r>
              <w:t>e.g.</w:t>
            </w:r>
            <w:proofErr w:type="gramEnd"/>
            <w:r>
              <w:t xml:space="preserve"> kilometre to metre; hour to minute]</w:t>
            </w:r>
          </w:p>
          <w:p w14:paraId="4EA56085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Read, write and convert time between analogue and digital 12- and 24-hour clocks</w:t>
            </w:r>
          </w:p>
          <w:p w14:paraId="6E9E2CF1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>Write amounts of money using decimal notation</w:t>
            </w:r>
          </w:p>
          <w:p w14:paraId="79766D2D" w14:textId="77777777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 xml:space="preserve">Recognise that one hundred 1p coins equal £1 and that each coin is </w:t>
            </w:r>
            <w:r>
              <w:rPr>
                <w:rFonts w:ascii="Cambria Math" w:hAnsi="Cambria Math" w:cs="Cambria Math"/>
              </w:rPr>
              <w:t>𝟏</w:t>
            </w:r>
            <w:r>
              <w:t>/</w:t>
            </w:r>
            <w:r>
              <w:rPr>
                <w:rFonts w:ascii="Cambria Math" w:hAnsi="Cambria Math" w:cs="Cambria Math"/>
              </w:rPr>
              <w:t>𝟏𝟎𝟎</w:t>
            </w:r>
            <w:r>
              <w:t xml:space="preserve"> of £1</w:t>
            </w:r>
          </w:p>
          <w:p w14:paraId="40CB3E01" w14:textId="0166CED5" w:rsidR="00C720FB" w:rsidRDefault="00C720FB" w:rsidP="00787384">
            <w:pPr>
              <w:pStyle w:val="ListParagraph"/>
              <w:numPr>
                <w:ilvl w:val="0"/>
                <w:numId w:val="34"/>
              </w:numPr>
            </w:pPr>
            <w:r>
              <w:t xml:space="preserve">Solve problems involving converting from hours to minutes; minutes to seconds; years to months; weeks to days and problems involving money and measures </w:t>
            </w:r>
          </w:p>
        </w:tc>
      </w:tr>
      <w:tr w:rsidR="00F44019" w:rsidRPr="001B0518" w14:paraId="151F20C0" w14:textId="77777777" w:rsidTr="1C68D796">
        <w:tblPrEx>
          <w:shd w:val="clear" w:color="auto" w:fill="F4B083" w:themeFill="accent2" w:themeFillTint="99"/>
        </w:tblPrEx>
        <w:trPr>
          <w:trHeight w:val="178"/>
        </w:trPr>
        <w:tc>
          <w:tcPr>
            <w:tcW w:w="15773" w:type="dxa"/>
            <w:gridSpan w:val="2"/>
          </w:tcPr>
          <w:p w14:paraId="0C78E613" w14:textId="4C822AC9" w:rsidR="00F44019" w:rsidRPr="001B0518" w:rsidRDefault="00F44019" w:rsidP="00723A3B">
            <w:pPr>
              <w:rPr>
                <w:sz w:val="16"/>
                <w:szCs w:val="16"/>
              </w:rPr>
            </w:pPr>
          </w:p>
        </w:tc>
      </w:tr>
    </w:tbl>
    <w:p w14:paraId="590C834B" w14:textId="55E9B84E" w:rsidR="00B25D89" w:rsidRPr="001B0518" w:rsidRDefault="00B25D89" w:rsidP="009A5714">
      <w:pPr>
        <w:pStyle w:val="Header"/>
        <w:tabs>
          <w:tab w:val="left" w:pos="555"/>
          <w:tab w:val="center" w:pos="10467"/>
        </w:tabs>
        <w:rPr>
          <w:rFonts w:ascii="Verdana" w:hAnsi="Verdana"/>
          <w:b/>
          <w:color w:val="FF0000"/>
          <w:sz w:val="16"/>
          <w:szCs w:val="16"/>
        </w:rPr>
      </w:pPr>
    </w:p>
    <w:sectPr w:rsidR="00B25D89" w:rsidRPr="001B0518" w:rsidSect="009A5714">
      <w:headerReference w:type="default" r:id="rId11"/>
      <w:pgSz w:w="16838" w:h="11906" w:orient="landscape"/>
      <w:pgMar w:top="1134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405E" w14:textId="77777777" w:rsidR="007309EE" w:rsidRDefault="007309EE" w:rsidP="004128CF">
      <w:pPr>
        <w:spacing w:after="0" w:line="240" w:lineRule="auto"/>
      </w:pPr>
      <w:r>
        <w:separator/>
      </w:r>
    </w:p>
  </w:endnote>
  <w:endnote w:type="continuationSeparator" w:id="0">
    <w:p w14:paraId="1574E24D" w14:textId="77777777" w:rsidR="007309EE" w:rsidRDefault="007309EE" w:rsidP="0041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2D22" w14:textId="77777777" w:rsidR="007309EE" w:rsidRDefault="007309EE" w:rsidP="004128CF">
      <w:pPr>
        <w:spacing w:after="0" w:line="240" w:lineRule="auto"/>
      </w:pPr>
      <w:r>
        <w:separator/>
      </w:r>
    </w:p>
  </w:footnote>
  <w:footnote w:type="continuationSeparator" w:id="0">
    <w:p w14:paraId="6AE02404" w14:textId="77777777" w:rsidR="007309EE" w:rsidRDefault="007309EE" w:rsidP="0041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AE6" w14:textId="75C4DB9C" w:rsidR="00BF2D16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ab/>
    </w:r>
    <w:r>
      <w:rPr>
        <w:rFonts w:ascii="Verdana" w:hAnsi="Verdana"/>
        <w:b/>
        <w:color w:val="FF0000"/>
        <w:sz w:val="36"/>
        <w:szCs w:val="36"/>
      </w:rPr>
      <w:tab/>
      <w:t xml:space="preserve">Year </w:t>
    </w:r>
    <w:r w:rsidR="004E2EB3">
      <w:rPr>
        <w:rFonts w:ascii="Verdana" w:hAnsi="Verdana"/>
        <w:b/>
        <w:color w:val="FF0000"/>
        <w:sz w:val="36"/>
        <w:szCs w:val="36"/>
      </w:rPr>
      <w:t>4</w:t>
    </w:r>
    <w:r w:rsidR="00A341AF">
      <w:rPr>
        <w:rFonts w:ascii="Verdana" w:hAnsi="Verdana"/>
        <w:b/>
        <w:color w:val="FF0000"/>
        <w:sz w:val="36"/>
        <w:szCs w:val="36"/>
      </w:rPr>
      <w:t xml:space="preserve"> </w:t>
    </w:r>
    <w:r w:rsidR="0045593E">
      <w:rPr>
        <w:rFonts w:ascii="Verdana" w:hAnsi="Verdana"/>
        <w:b/>
        <w:color w:val="FF0000"/>
        <w:sz w:val="36"/>
        <w:szCs w:val="36"/>
      </w:rPr>
      <w:t>Maths</w:t>
    </w:r>
    <w:r w:rsidR="00E57992">
      <w:rPr>
        <w:rFonts w:ascii="Verdana" w:hAnsi="Verdana"/>
        <w:b/>
        <w:color w:val="FF0000"/>
        <w:sz w:val="36"/>
        <w:szCs w:val="36"/>
      </w:rPr>
      <w:t xml:space="preserve"> </w:t>
    </w:r>
    <w:r w:rsidRPr="00AD489C">
      <w:rPr>
        <w:rFonts w:ascii="Verdana" w:hAnsi="Verdana"/>
        <w:b/>
        <w:color w:val="FF0000"/>
        <w:sz w:val="36"/>
        <w:szCs w:val="36"/>
      </w:rPr>
      <w:t>Overview</w:t>
    </w:r>
    <w:r w:rsidRPr="00AD489C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0" wp14:anchorId="6F5013CE" wp14:editId="6E14AAD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C853C" w14:textId="3B955348" w:rsidR="00BF2D16" w:rsidRPr="00AD489C" w:rsidRDefault="00BF2D16" w:rsidP="00BF2D16">
    <w:pPr>
      <w:pStyle w:val="Header"/>
      <w:tabs>
        <w:tab w:val="left" w:pos="555"/>
        <w:tab w:val="center" w:pos="10467"/>
      </w:tabs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262626" w:themeColor="text1" w:themeTint="D9"/>
        <w:sz w:val="36"/>
        <w:szCs w:val="36"/>
      </w:rPr>
      <w:tab/>
    </w:r>
    <w:r>
      <w:rPr>
        <w:rFonts w:ascii="Verdana" w:hAnsi="Verdana"/>
        <w:b/>
        <w:color w:val="262626" w:themeColor="text1" w:themeTint="D9"/>
        <w:sz w:val="36"/>
        <w:szCs w:val="36"/>
      </w:rPr>
      <w:tab/>
      <w:t xml:space="preserve">     </w:t>
    </w:r>
    <w:proofErr w:type="spellStart"/>
    <w:r>
      <w:rPr>
        <w:rFonts w:ascii="Verdana" w:hAnsi="Verdana"/>
        <w:b/>
        <w:color w:val="262626" w:themeColor="text1" w:themeTint="D9"/>
        <w:sz w:val="36"/>
        <w:szCs w:val="36"/>
      </w:rPr>
      <w:t>Bower</w:t>
    </w:r>
    <w:r w:rsidRPr="00AD489C">
      <w:rPr>
        <w:rFonts w:ascii="Verdana" w:hAnsi="Verdana"/>
        <w:b/>
        <w:color w:val="262626" w:themeColor="text1" w:themeTint="D9"/>
        <w:sz w:val="36"/>
        <w:szCs w:val="36"/>
      </w:rPr>
      <w:t>ham</w:t>
    </w:r>
    <w:proofErr w:type="spellEnd"/>
    <w:r w:rsidRPr="00AD489C">
      <w:rPr>
        <w:rFonts w:ascii="Verdana" w:hAnsi="Verdana"/>
        <w:b/>
        <w:color w:val="262626" w:themeColor="text1" w:themeTint="D9"/>
        <w:sz w:val="36"/>
        <w:szCs w:val="36"/>
      </w:rPr>
      <w:t xml:space="preserve"> Primary and Nursery School</w:t>
    </w:r>
  </w:p>
  <w:p w14:paraId="13C4F6C9" w14:textId="77777777" w:rsidR="00BF2D16" w:rsidRDefault="00BF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1C"/>
    <w:multiLevelType w:val="hybridMultilevel"/>
    <w:tmpl w:val="4A2A9CC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A5C05"/>
    <w:multiLevelType w:val="hybridMultilevel"/>
    <w:tmpl w:val="0A58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65F"/>
    <w:multiLevelType w:val="hybridMultilevel"/>
    <w:tmpl w:val="A45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03940"/>
    <w:multiLevelType w:val="hybridMultilevel"/>
    <w:tmpl w:val="2C06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3626C"/>
    <w:multiLevelType w:val="hybridMultilevel"/>
    <w:tmpl w:val="4D76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1EF1"/>
    <w:multiLevelType w:val="hybridMultilevel"/>
    <w:tmpl w:val="93F6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1A4"/>
    <w:multiLevelType w:val="hybridMultilevel"/>
    <w:tmpl w:val="4E10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2260"/>
    <w:multiLevelType w:val="hybridMultilevel"/>
    <w:tmpl w:val="73FE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3FAB"/>
    <w:multiLevelType w:val="hybridMultilevel"/>
    <w:tmpl w:val="D240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E510B"/>
    <w:multiLevelType w:val="hybridMultilevel"/>
    <w:tmpl w:val="D562B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2102"/>
    <w:multiLevelType w:val="hybridMultilevel"/>
    <w:tmpl w:val="9EF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751C"/>
    <w:multiLevelType w:val="hybridMultilevel"/>
    <w:tmpl w:val="1834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813FE"/>
    <w:multiLevelType w:val="hybridMultilevel"/>
    <w:tmpl w:val="BCA8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71B1"/>
    <w:multiLevelType w:val="hybridMultilevel"/>
    <w:tmpl w:val="C546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146A"/>
    <w:multiLevelType w:val="hybridMultilevel"/>
    <w:tmpl w:val="DDE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F2687"/>
    <w:multiLevelType w:val="hybridMultilevel"/>
    <w:tmpl w:val="F11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4DD3"/>
    <w:multiLevelType w:val="hybridMultilevel"/>
    <w:tmpl w:val="348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2B50"/>
    <w:multiLevelType w:val="hybridMultilevel"/>
    <w:tmpl w:val="879E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778EB"/>
    <w:multiLevelType w:val="hybridMultilevel"/>
    <w:tmpl w:val="6C3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14F8"/>
    <w:multiLevelType w:val="hybridMultilevel"/>
    <w:tmpl w:val="26A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72BB4"/>
    <w:multiLevelType w:val="hybridMultilevel"/>
    <w:tmpl w:val="C6D0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E5B45"/>
    <w:multiLevelType w:val="hybridMultilevel"/>
    <w:tmpl w:val="5E4E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F6904"/>
    <w:multiLevelType w:val="hybridMultilevel"/>
    <w:tmpl w:val="B8C4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327A"/>
    <w:multiLevelType w:val="hybridMultilevel"/>
    <w:tmpl w:val="410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75265"/>
    <w:multiLevelType w:val="hybridMultilevel"/>
    <w:tmpl w:val="FDE4A444"/>
    <w:lvl w:ilvl="0" w:tplc="7038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6C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28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4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32242"/>
    <w:multiLevelType w:val="hybridMultilevel"/>
    <w:tmpl w:val="F334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B5982"/>
    <w:multiLevelType w:val="hybridMultilevel"/>
    <w:tmpl w:val="80F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6064"/>
    <w:multiLevelType w:val="hybridMultilevel"/>
    <w:tmpl w:val="6E1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42EC"/>
    <w:multiLevelType w:val="hybridMultilevel"/>
    <w:tmpl w:val="44887C56"/>
    <w:lvl w:ilvl="0" w:tplc="77B2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EB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C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6E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8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3DF6"/>
    <w:multiLevelType w:val="hybridMultilevel"/>
    <w:tmpl w:val="57C0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C3B56"/>
    <w:multiLevelType w:val="hybridMultilevel"/>
    <w:tmpl w:val="131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91B9A"/>
    <w:multiLevelType w:val="hybridMultilevel"/>
    <w:tmpl w:val="587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6E994"/>
    <w:multiLevelType w:val="hybridMultilevel"/>
    <w:tmpl w:val="01A44C9E"/>
    <w:lvl w:ilvl="0" w:tplc="B936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3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8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6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C631A"/>
    <w:multiLevelType w:val="hybridMultilevel"/>
    <w:tmpl w:val="67A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4333E"/>
    <w:multiLevelType w:val="hybridMultilevel"/>
    <w:tmpl w:val="25E4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26"/>
  </w:num>
  <w:num w:numId="10">
    <w:abstractNumId w:val="2"/>
  </w:num>
  <w:num w:numId="11">
    <w:abstractNumId w:val="8"/>
  </w:num>
  <w:num w:numId="12">
    <w:abstractNumId w:val="17"/>
  </w:num>
  <w:num w:numId="13">
    <w:abstractNumId w:val="29"/>
  </w:num>
  <w:num w:numId="14">
    <w:abstractNumId w:val="34"/>
  </w:num>
  <w:num w:numId="15">
    <w:abstractNumId w:val="22"/>
  </w:num>
  <w:num w:numId="16">
    <w:abstractNumId w:val="12"/>
  </w:num>
  <w:num w:numId="17">
    <w:abstractNumId w:val="6"/>
  </w:num>
  <w:num w:numId="18">
    <w:abstractNumId w:val="31"/>
  </w:num>
  <w:num w:numId="19">
    <w:abstractNumId w:val="18"/>
  </w:num>
  <w:num w:numId="20">
    <w:abstractNumId w:val="14"/>
  </w:num>
  <w:num w:numId="21">
    <w:abstractNumId w:val="9"/>
  </w:num>
  <w:num w:numId="22">
    <w:abstractNumId w:val="21"/>
  </w:num>
  <w:num w:numId="23">
    <w:abstractNumId w:val="5"/>
  </w:num>
  <w:num w:numId="24">
    <w:abstractNumId w:val="1"/>
  </w:num>
  <w:num w:numId="25">
    <w:abstractNumId w:val="19"/>
  </w:num>
  <w:num w:numId="26">
    <w:abstractNumId w:val="33"/>
  </w:num>
  <w:num w:numId="27">
    <w:abstractNumId w:val="27"/>
  </w:num>
  <w:num w:numId="28">
    <w:abstractNumId w:val="16"/>
  </w:num>
  <w:num w:numId="29">
    <w:abstractNumId w:val="25"/>
  </w:num>
  <w:num w:numId="30">
    <w:abstractNumId w:val="11"/>
  </w:num>
  <w:num w:numId="31">
    <w:abstractNumId w:val="23"/>
  </w:num>
  <w:num w:numId="32">
    <w:abstractNumId w:val="20"/>
  </w:num>
  <w:num w:numId="33">
    <w:abstractNumId w:val="15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04"/>
    <w:rsid w:val="00072393"/>
    <w:rsid w:val="001B0518"/>
    <w:rsid w:val="00217AFF"/>
    <w:rsid w:val="0024044B"/>
    <w:rsid w:val="00256043"/>
    <w:rsid w:val="00262735"/>
    <w:rsid w:val="00297595"/>
    <w:rsid w:val="002F0FB0"/>
    <w:rsid w:val="002F54C8"/>
    <w:rsid w:val="00301006"/>
    <w:rsid w:val="00307A92"/>
    <w:rsid w:val="00315A89"/>
    <w:rsid w:val="00346BD0"/>
    <w:rsid w:val="00383E9C"/>
    <w:rsid w:val="004128CF"/>
    <w:rsid w:val="0045593E"/>
    <w:rsid w:val="004752B2"/>
    <w:rsid w:val="004E2EB3"/>
    <w:rsid w:val="00562204"/>
    <w:rsid w:val="0059731E"/>
    <w:rsid w:val="005C796F"/>
    <w:rsid w:val="006079D4"/>
    <w:rsid w:val="00647CE7"/>
    <w:rsid w:val="006655F2"/>
    <w:rsid w:val="00673705"/>
    <w:rsid w:val="006C1F74"/>
    <w:rsid w:val="00723A3B"/>
    <w:rsid w:val="007309EE"/>
    <w:rsid w:val="00741AD3"/>
    <w:rsid w:val="00787384"/>
    <w:rsid w:val="007B20C9"/>
    <w:rsid w:val="008206C7"/>
    <w:rsid w:val="00867D17"/>
    <w:rsid w:val="008B67E3"/>
    <w:rsid w:val="009451C5"/>
    <w:rsid w:val="009538EF"/>
    <w:rsid w:val="00961FE9"/>
    <w:rsid w:val="009A0494"/>
    <w:rsid w:val="009A5714"/>
    <w:rsid w:val="009E56DD"/>
    <w:rsid w:val="00A245B8"/>
    <w:rsid w:val="00A341AF"/>
    <w:rsid w:val="00A42389"/>
    <w:rsid w:val="00A46E97"/>
    <w:rsid w:val="00A82E13"/>
    <w:rsid w:val="00AB46B0"/>
    <w:rsid w:val="00AC2676"/>
    <w:rsid w:val="00AF6CE1"/>
    <w:rsid w:val="00B25D89"/>
    <w:rsid w:val="00B55DCE"/>
    <w:rsid w:val="00B61D8F"/>
    <w:rsid w:val="00B776F5"/>
    <w:rsid w:val="00BA5710"/>
    <w:rsid w:val="00BA707E"/>
    <w:rsid w:val="00BF2D16"/>
    <w:rsid w:val="00C072F9"/>
    <w:rsid w:val="00C44792"/>
    <w:rsid w:val="00C720FB"/>
    <w:rsid w:val="00CA19AB"/>
    <w:rsid w:val="00CC6F55"/>
    <w:rsid w:val="00D172B5"/>
    <w:rsid w:val="00D56F19"/>
    <w:rsid w:val="00D628AF"/>
    <w:rsid w:val="00D76EB3"/>
    <w:rsid w:val="00DB56A2"/>
    <w:rsid w:val="00DB6C15"/>
    <w:rsid w:val="00DD27FE"/>
    <w:rsid w:val="00DD5D82"/>
    <w:rsid w:val="00E01404"/>
    <w:rsid w:val="00E27964"/>
    <w:rsid w:val="00E57992"/>
    <w:rsid w:val="00EA5D65"/>
    <w:rsid w:val="00EE1F11"/>
    <w:rsid w:val="00F227A8"/>
    <w:rsid w:val="00F44019"/>
    <w:rsid w:val="01B5D39A"/>
    <w:rsid w:val="01D9AF7E"/>
    <w:rsid w:val="0247E642"/>
    <w:rsid w:val="078EB85C"/>
    <w:rsid w:val="092458B8"/>
    <w:rsid w:val="0B3A8A57"/>
    <w:rsid w:val="0B6C7487"/>
    <w:rsid w:val="0C9D33E8"/>
    <w:rsid w:val="0D4CD10A"/>
    <w:rsid w:val="0DFA855F"/>
    <w:rsid w:val="0E9DB59D"/>
    <w:rsid w:val="0F866D84"/>
    <w:rsid w:val="102EB12A"/>
    <w:rsid w:val="11028D2A"/>
    <w:rsid w:val="13096190"/>
    <w:rsid w:val="137E49D7"/>
    <w:rsid w:val="1975AE9E"/>
    <w:rsid w:val="1C62B1C3"/>
    <w:rsid w:val="1C68D796"/>
    <w:rsid w:val="1CFB75F3"/>
    <w:rsid w:val="1D1AD1AB"/>
    <w:rsid w:val="1DB2B04E"/>
    <w:rsid w:val="1F07954F"/>
    <w:rsid w:val="204E090C"/>
    <w:rsid w:val="2089678F"/>
    <w:rsid w:val="21233D95"/>
    <w:rsid w:val="2341F627"/>
    <w:rsid w:val="2C8A4B3A"/>
    <w:rsid w:val="2FCA62B5"/>
    <w:rsid w:val="2FECCD8B"/>
    <w:rsid w:val="30C02DC3"/>
    <w:rsid w:val="314B6D23"/>
    <w:rsid w:val="317FA8BB"/>
    <w:rsid w:val="330DB7D3"/>
    <w:rsid w:val="34546BEC"/>
    <w:rsid w:val="34CDEB86"/>
    <w:rsid w:val="3B76408C"/>
    <w:rsid w:val="3BE88B80"/>
    <w:rsid w:val="3C653202"/>
    <w:rsid w:val="3DC85F12"/>
    <w:rsid w:val="3EB6296A"/>
    <w:rsid w:val="407E94AF"/>
    <w:rsid w:val="40D3E002"/>
    <w:rsid w:val="42D135BB"/>
    <w:rsid w:val="45C0BFFE"/>
    <w:rsid w:val="47F3F031"/>
    <w:rsid w:val="49152B47"/>
    <w:rsid w:val="4C5C793E"/>
    <w:rsid w:val="4D290491"/>
    <w:rsid w:val="4F64A4AF"/>
    <w:rsid w:val="566AF825"/>
    <w:rsid w:val="5AC591D0"/>
    <w:rsid w:val="5E75EC79"/>
    <w:rsid w:val="5E7F86DA"/>
    <w:rsid w:val="63146BB4"/>
    <w:rsid w:val="63BC7922"/>
    <w:rsid w:val="6469BC24"/>
    <w:rsid w:val="65C934A3"/>
    <w:rsid w:val="66041373"/>
    <w:rsid w:val="6757ABEA"/>
    <w:rsid w:val="69F1097F"/>
    <w:rsid w:val="6B09D562"/>
    <w:rsid w:val="6B24BA0E"/>
    <w:rsid w:val="6B9B4A15"/>
    <w:rsid w:val="6B9EEA5B"/>
    <w:rsid w:val="6BCF788D"/>
    <w:rsid w:val="6CE7EF1A"/>
    <w:rsid w:val="6F07194F"/>
    <w:rsid w:val="6F3A98C5"/>
    <w:rsid w:val="70A2E9B0"/>
    <w:rsid w:val="70F477DA"/>
    <w:rsid w:val="73DA8A72"/>
    <w:rsid w:val="75765AD3"/>
    <w:rsid w:val="77122B34"/>
    <w:rsid w:val="77E72BA5"/>
    <w:rsid w:val="7935D75F"/>
    <w:rsid w:val="7C3DD9B0"/>
    <w:rsid w:val="7CFEC336"/>
    <w:rsid w:val="7F24CA6C"/>
    <w:rsid w:val="7F7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E92"/>
  <w15:chartTrackingRefBased/>
  <w15:docId w15:val="{EF2287EF-FCF1-47E1-A89C-69B05A6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04"/>
  </w:style>
  <w:style w:type="table" w:styleId="TableGrid">
    <w:name w:val="Table Grid"/>
    <w:basedOn w:val="TableNormal"/>
    <w:uiPriority w:val="39"/>
    <w:rsid w:val="0056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0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F"/>
  </w:style>
  <w:style w:type="paragraph" w:styleId="Subtitle">
    <w:name w:val="Subtitle"/>
    <w:basedOn w:val="Normal"/>
    <w:next w:val="Normal"/>
    <w:link w:val="SubtitleChar"/>
    <w:uiPriority w:val="11"/>
    <w:qFormat/>
    <w:rsid w:val="00A341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41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8" ma:contentTypeDescription="Create a new document." ma:contentTypeScope="" ma:versionID="5c1db3551db52b080e9dde27ff83b573">
  <xsd:schema xmlns:xsd="http://www.w3.org/2001/XMLSchema" xmlns:xs="http://www.w3.org/2001/XMLSchema" xmlns:p="http://schemas.microsoft.com/office/2006/metadata/properties" xmlns:ns2="e2320570-3fc9-4ae3-8faa-b751bb62a537" xmlns:ns3="bdf03931-6a88-42bb-8e17-3e4a6441e257" targetNamespace="http://schemas.microsoft.com/office/2006/metadata/properties" ma:root="true" ma:fieldsID="d8fd986109eacaa1649aa1b377d4d99a" ns2:_="" ns3:_="">
    <xsd:import namespace="e2320570-3fc9-4ae3-8faa-b751bb62a537"/>
    <xsd:import namespace="bdf03931-6a88-42bb-8e17-3e4a6441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3931-6a88-42bb-8e17-3e4a6441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dac30-80e5-48e8-8eb9-abce69ebc639}" ma:internalName="TaxCatchAll" ma:showField="CatchAllData" ma:web="bdf03931-6a88-42bb-8e17-3e4a6441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20570-3fc9-4ae3-8faa-b751bb62a537">
      <Terms xmlns="http://schemas.microsoft.com/office/infopath/2007/PartnerControls"/>
    </lcf76f155ced4ddcb4097134ff3c332f>
    <TaxCatchAll xmlns="bdf03931-6a88-42bb-8e17-3e4a6441e257" xsi:nil="true"/>
  </documentManagement>
</p:properties>
</file>

<file path=customXml/itemProps1.xml><?xml version="1.0" encoding="utf-8"?>
<ds:datastoreItem xmlns:ds="http://schemas.openxmlformats.org/officeDocument/2006/customXml" ds:itemID="{CC9741BE-3276-4BA6-BD95-02D255ED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0570-3fc9-4ae3-8faa-b751bb62a537"/>
    <ds:schemaRef ds:uri="bdf03931-6a88-42bb-8e17-3e4a6441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B878C-813D-46E6-91A3-D88AC569D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D3885-F467-46D4-9334-5FDE68626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B8725-3DDF-427A-BC1D-ABAEDDD023B0}">
  <ds:schemaRefs>
    <ds:schemaRef ds:uri="http://schemas.microsoft.com/office/2006/metadata/properties"/>
    <ds:schemaRef ds:uri="http://schemas.microsoft.com/office/infopath/2007/PartnerControls"/>
    <ds:schemaRef ds:uri="e2320570-3fc9-4ae3-8faa-b751bb62a537"/>
    <ds:schemaRef ds:uri="bdf03931-6a88-42bb-8e17-3e4a6441e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Box</dc:creator>
  <cp:keywords/>
  <dc:description/>
  <cp:lastModifiedBy>Clare Lloyd</cp:lastModifiedBy>
  <cp:revision>4</cp:revision>
  <cp:lastPrinted>2020-09-16T13:09:00Z</cp:lastPrinted>
  <dcterms:created xsi:type="dcterms:W3CDTF">2025-03-27T15:10:00Z</dcterms:created>
  <dcterms:modified xsi:type="dcterms:W3CDTF">2025-09-08T19:43:00Z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  <property fmtid="{D5CDD505-2E9C-101B-9397-08002B2CF9AE}" pid="3" name="MediaServiceImageTags">
    <vt:lpwstr/>
  </property>
</Properties>
</file>